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Deskriptive Statistik</w:t>
      </w:r>
    </w:p>
    <w:p>
      <w:pPr>
        <w:pStyle w:val="Subtitle"/>
      </w:pPr>
      <w:r>
        <w:t xml:space="preserve">Ein verständlicher Wegweiser zu Variablen, Verteilungen und numerischen Kennwerten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1</w:t>
      </w:r>
    </w:p>
    <w:bookmarkStart w:id="42" w:name="zusammenfassung-der-kursseite"/>
    <w:p>
      <w:pPr>
        <w:pStyle w:val="Heading1"/>
      </w:pPr>
      <w:r>
        <w:t xml:space="preserve">Zusammenfassung der Kursseite</w:t>
      </w:r>
    </w:p>
    <w:p>
      <w:pPr>
        <w:pStyle w:val="FirstParagraph"/>
      </w:pPr>
      <w:r>
        <w:t xml:space="preserve">Die deskriptive Statistik verbindet Messung und Analyse. Bestimme zuerst, was jeder Fall, jede Variable und jeder Wert darstellt. Verwende anschliessend das Skalenniveau, um begründbare Häufigkeiten, numerische Kennwerte und Grafiken auszuwählen. Lage, Streuung und Form müssen gemeinsam interpretiert werden, weil keine dieser Dimensionen allein eine vollständige Beschreibung liefert. Diese Konzepte stützen Wahrscheinlichkeit, Inferenz, Korrelation, Regression und alle späteren Themen dieser Lernsequenz.</w:t>
      </w:r>
    </w:p>
    <w:p>
      <w:pPr>
        <w:pBdr>
          <w:bottom w:val="single" w:sz="4" w:space="6" w:color="B8C6CF"/>
        </w:pBdr>
        <w:spacing w:before="60" w:after="100"/>
      </w:pPr>
    </w:p>
    <w:bookmarkStart w:id="24" w:name="notation-und-entscheidungscheckliste"/>
    <w:p>
      <w:pPr>
        <w:pStyle w:val="Heading2"/>
      </w:pPr>
      <w:r>
        <w:t xml:space="preserve">Notation und Entscheidungscheckliste</w:t>
      </w:r>
    </w:p>
    <w:bookmarkStart w:id="23" w:name="tbl-summary-notation"/>
    <w:p>
      <w:pPr>
        <w:pStyle w:val="TableCaption"/>
        <w:keepNext/>
        <w:keepLines/>
        <w:widowControl/>
        <w:spacing w:before="120" w:after="80"/>
        <w:jc w:val="left"/>
      </w:pPr>
      <w:r>
        <w:t xml:space="preserve">Tabelle 1: Zentrale Notation der deskriptiven Statistik.</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00"/>
        <w:gridCol w:w="3810"/>
        <w:gridCol w:w="3714"/>
      </w:tblGrid>
      <w:tr>
        <w:trPr>
          <w:cantSplit/>
          <w:tblHeader w:val="on"/>
        </w:trPr>
        <w:tc>
          <w:tcPr>
            <w:tcW w:w="2000" w:type="dxa"/>
            <w:shd w:fill="EAF2F6"/>
            <w:vAlign w:val="center"/>
          </w:tcPr>
          <w:p>
            <w:pPr>
              <w:pStyle w:val="Compact"/>
              <w:keepLines/>
              <w:widowControl/>
              <w:spacing w:before="0" w:after="40" w:line="240" w:lineRule="auto"/>
              <w:jc w:val="left"/>
            </w:pPr>
            <w:r>
              <w:rPr>
                <w:b/>
                <w:color w:val="183B56"/>
                <w:sz w:val="20"/>
                <w:szCs w:val="20"/>
              </w:rPr>
              <w:t xml:space="preserve">Symbol</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Bedeutung</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Prüffrage</w:t>
            </w:r>
          </w:p>
        </w:tc>
      </w:tr>
      <w:tr>
        <w:trPr>
          <w:cantSplit/>
        </w:trPr>
        <w:tc>
          <w:tcPr>
            <w:tcW w:w="2000" w:type="dxa"/>
            <w:shd w:fill="F3F7F9"/>
            <w:vAlign w:val="top"/>
          </w:tcPr>
          <w:p>
            <w:pPr>
              <w:pStyle w:val="Compact"/>
              <w:keepLines/>
              <w:widowControl/>
              <w:spacing w:before="0" w:after="40" w:line="240" w:lineRule="auto"/>
              <w:jc w:val="center"/>
            </w:pPr>
            <ns5:oMath>
              <ns5:sSub>
                <ns5:e>
                  <ns5:r>
                    <ns5:t>x</ns5:t>
                  </ns5:r>
                </ns5:e>
                <ns5:sub>
                  <ns5:r>
                    <ns5:t>i</ns5:t>
                  </ns5:r>
                </ns5:sub>
              </ns5:sSub>
            </ns5:oMath>
          </w:p>
        </w:tc>
        <w:tc>
          <w:tcPr>
            <w:tcW w:w="3810" w:type="dxa"/>
            <w:shd w:fill="F3F7F9"/>
            <w:vAlign w:val="top"/>
          </w:tcPr>
          <w:p>
            <w:pPr>
              <w:pStyle w:val="Compact"/>
              <w:keepLines/>
              <w:widowControl/>
              <w:spacing w:before="0" w:after="40" w:line="240" w:lineRule="auto"/>
              <w:jc w:val="center"/>
            </w:pPr>
            <w:r>
              <w:rPr>
                <w:sz w:val="20"/>
                <w:szCs w:val="20"/>
              </w:rPr>
              <w:t xml:space="preserve">Wert der Beobachtung</w:t>
            </w:r>
            <w:r>
              <w:rPr>
                <w:sz w:val="20"/>
                <w:szCs w:val="20"/>
              </w:rPr>
              <w:t xml:space="preserve"> </w:t>
            </w:r>
            <ns5:oMath>
              <ns5:r>
                <ns5:t>i</ns5:t>
              </ns5:r>
            </ns5:oMath>
          </w:p>
        </w:tc>
        <w:tc>
          <w:tcPr>
            <w:tcW w:w="3714" w:type="dxa"/>
            <w:shd w:fill="F3F7F9"/>
            <w:vAlign w:val="top"/>
          </w:tcPr>
          <w:p>
            <w:pPr>
              <w:pStyle w:val="Compact"/>
              <w:keepLines/>
              <w:widowControl/>
              <w:spacing w:before="0" w:after="40" w:line="240" w:lineRule="auto"/>
              <w:jc w:val="center"/>
            </w:pPr>
            <w:r>
              <w:rPr>
                <w:sz w:val="20"/>
                <w:szCs w:val="20"/>
              </w:rPr>
              <w:t xml:space="preserve">Was stellt ein einzelner aufgezeichneter Wert dar?</w:t>
            </w:r>
          </w:p>
        </w:tc>
      </w:tr>
      <w:tr>
        <w:trPr>
          <w:cantSplit/>
        </w:trPr>
        <w:tc>
          <w:tcPr>
            <w:tcW w:w="2000" w:type="dxa"/>
            <w:shd w:fill="FFFFFF"/>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und</w:t>
            </w:r>
            <w:r>
              <w:rPr>
                <w:sz w:val="20"/>
                <w:szCs w:val="20"/>
              </w:rPr>
              <w:t xml:space="preserve"> </w:t>
            </w:r>
            <ns5:oMath>
              <ns5:r>
                <ns5:t>N</ns5:t>
              </ns5:r>
            </ns5:oMath>
          </w:p>
        </w:tc>
        <w:tc>
          <w:tcPr>
            <w:tcW w:w="3810" w:type="dxa"/>
            <w:shd w:fill="FFFFFF"/>
            <w:vAlign w:val="top"/>
          </w:tcPr>
          <w:p>
            <w:pPr>
              <w:pStyle w:val="Compact"/>
              <w:keepLines/>
              <w:widowControl/>
              <w:spacing w:before="0" w:after="40" w:line="240" w:lineRule="auto"/>
              <w:jc w:val="center"/>
            </w:pPr>
            <w:r>
              <w:rPr>
                <w:sz w:val="20"/>
                <w:szCs w:val="20"/>
              </w:rPr>
              <w:t xml:space="preserve">Stichprobengrösse und Grösse der Grundgesamtheit</w:t>
            </w:r>
          </w:p>
        </w:tc>
        <w:tc>
          <w:tcPr>
            <w:tcW w:w="3714" w:type="dxa"/>
            <w:shd w:fill="FFFFFF"/>
            <w:vAlign w:val="top"/>
          </w:tcPr>
          <w:p>
            <w:pPr>
              <w:pStyle w:val="Compact"/>
              <w:keepLines/>
              <w:widowControl/>
              <w:spacing w:before="0" w:after="40" w:line="240" w:lineRule="auto"/>
              <w:jc w:val="center"/>
            </w:pPr>
            <w:r>
              <w:rPr>
                <w:sz w:val="20"/>
                <w:szCs w:val="20"/>
              </w:rPr>
              <w:t xml:space="preserve">Beschreibe ich eine Stichprobe oder die vollständige Grundgesamtheit?</w:t>
            </w:r>
          </w:p>
        </w:tc>
      </w:tr>
      <w:tr>
        <w:trPr>
          <w:cantSplit/>
        </w:trPr>
        <w:tc>
          <w:tcPr>
            <w:tcW w:w="2000" w:type="dxa"/>
            <w:shd w:fill="F3F7F9"/>
            <w:vAlign w:val="top"/>
          </w:tcPr>
          <w:p>
            <w:pPr>
              <w:pStyle w:val="Compact"/>
              <w:keepLines/>
              <w:widowControl/>
              <w:spacing w:before="0" w:after="40" w:line="240" w:lineRule="auto"/>
              <w:jc w:val="center"/>
            </w:pPr>
            <ns5:oMath>
              <ns5:acc>
                <ns5:accPr>
                  <ns5:chr ns5:val="‾"/>
                </ns5:accPr>
                <ns5:e>
                  <ns5:r>
                    <ns5:t>x</ns5:t>
                  </ns5:r>
                </ns5:e>
              </ns5:acc>
            </ns5:oMath>
            <w:r>
              <w:rPr>
                <w:sz w:val="20"/>
                <w:szCs w:val="20"/>
              </w:rPr>
              <w:t xml:space="preserve"> </w:t>
            </w:r>
            <w:r>
              <w:rPr>
                <w:sz w:val="20"/>
                <w:szCs w:val="20"/>
              </w:rPr>
              <w:t xml:space="preserve">und</w:t>
            </w:r>
            <w:r>
              <w:rPr>
                <w:sz w:val="20"/>
                <w:szCs w:val="20"/>
              </w:rPr>
              <w:t xml:space="preserve"> </w:t>
            </w:r>
            <ns5:oMath>
              <ns5:r>
                <ns5:t>μ</ns5:t>
              </ns5:r>
            </ns5:oMath>
          </w:p>
        </w:tc>
        <w:tc>
          <w:tcPr>
            <w:tcW w:w="3810" w:type="dxa"/>
            <w:shd w:fill="F3F7F9"/>
            <w:vAlign w:val="top"/>
          </w:tcPr>
          <w:p>
            <w:pPr>
              <w:pStyle w:val="Compact"/>
              <w:keepLines/>
              <w:widowControl/>
              <w:spacing w:before="0" w:after="40" w:line="240" w:lineRule="auto"/>
              <w:jc w:val="center"/>
            </w:pPr>
            <w:r>
              <w:rPr>
                <w:sz w:val="20"/>
                <w:szCs w:val="20"/>
              </w:rPr>
              <w:t xml:space="preserve">Stichprobenmittelwert und Populationsmittelwert</w:t>
            </w:r>
          </w:p>
        </w:tc>
        <w:tc>
          <w:tcPr>
            <w:tcW w:w="3714" w:type="dxa"/>
            <w:shd w:fill="F3F7F9"/>
            <w:vAlign w:val="top"/>
          </w:tcPr>
          <w:p>
            <w:pPr>
              <w:pStyle w:val="Compact"/>
              <w:keepLines/>
              <w:widowControl/>
              <w:spacing w:before="0" w:after="40" w:line="240" w:lineRule="auto"/>
              <w:jc w:val="center"/>
            </w:pPr>
            <w:r>
              <w:rPr>
                <w:sz w:val="20"/>
                <w:szCs w:val="20"/>
              </w:rPr>
              <w:t xml:space="preserve">Passt das Symbol zur Zielgrösse?</w:t>
            </w:r>
          </w:p>
        </w:tc>
      </w:tr>
      <w:tr>
        <w:trPr>
          <w:cantSplit/>
        </w:trPr>
        <w:tc>
          <w:tcPr>
            <w:tcW w:w="2000" w:type="dxa"/>
            <w:shd w:fill="FFFFFF"/>
            <w:vAlign w:val="top"/>
          </w:tcPr>
          <w:p>
            <w:pPr>
              <w:pStyle w:val="Compact"/>
              <w:keepLines/>
              <w:widowControl/>
              <w:spacing w:before="0" w:after="40" w:line="240" w:lineRule="auto"/>
              <w:jc w:val="center"/>
            </w:pPr>
            <ns5:oMath>
              <ns5:sSup>
                <ns5:e>
                  <ns5:r>
                    <ns5:t>s</ns5:t>
                  </ns5:r>
                </ns5:e>
                <ns5:sup>
                  <ns5:r>
                    <ns5:t>2</ns5:t>
                  </ns5:r>
                </ns5:sup>
              </ns5:sSup>
            </ns5:oMath>
            <w:r>
              <w:rPr>
                <w:sz w:val="20"/>
                <w:szCs w:val="20"/>
              </w:rPr>
              <w:t xml:space="preserve"> </w:t>
            </w:r>
            <w:r>
              <w:rPr>
                <w:sz w:val="20"/>
                <w:szCs w:val="20"/>
              </w:rPr>
              <w:t xml:space="preserve">und</w:t>
            </w:r>
            <w:r>
              <w:rPr>
                <w:sz w:val="20"/>
                <w:szCs w:val="20"/>
              </w:rPr>
              <w:t xml:space="preserve"> </w:t>
            </w:r>
            <ns5:oMath>
              <ns5:sSup>
                <ns5:e>
                  <ns5:r>
                    <ns5:t>σ</ns5:t>
                  </ns5:r>
                </ns5:e>
                <ns5:sup>
                  <ns5:r>
                    <ns5:t>2</ns5:t>
                  </ns5:r>
                </ns5:sup>
              </ns5:sSup>
            </ns5:oMath>
          </w:p>
        </w:tc>
        <w:tc>
          <w:tcPr>
            <w:tcW w:w="3810" w:type="dxa"/>
            <w:shd w:fill="FFFFFF"/>
            <w:vAlign w:val="top"/>
          </w:tcPr>
          <w:p>
            <w:pPr>
              <w:pStyle w:val="Compact"/>
              <w:keepLines/>
              <w:widowControl/>
              <w:spacing w:before="0" w:after="40" w:line="240" w:lineRule="auto"/>
              <w:jc w:val="center"/>
            </w:pPr>
            <w:r>
              <w:rPr>
                <w:sz w:val="20"/>
                <w:szCs w:val="20"/>
              </w:rPr>
              <w:t xml:space="preserve">Stichprobenvarianz und Populationsvarianz</w:t>
            </w:r>
          </w:p>
        </w:tc>
        <w:tc>
          <w:tcPr>
            <w:tcW w:w="3714" w:type="dxa"/>
            <w:shd w:fill="FFFFFF"/>
            <w:vAlign w:val="top"/>
          </w:tcPr>
          <w:p>
            <w:pPr>
              <w:pStyle w:val="Compact"/>
              <w:keepLines/>
              <w:widowControl/>
              <w:spacing w:before="0" w:after="40" w:line="240" w:lineRule="auto"/>
              <w:jc w:val="center"/>
            </w:pPr>
            <w:r>
              <w:rPr>
                <w:sz w:val="20"/>
                <w:szCs w:val="20"/>
              </w:rPr>
              <w:t xml:space="preserve">Passt der Nenner zur Zielgrösse?</w:t>
            </w:r>
          </w:p>
        </w:tc>
      </w:tr>
      <w:tr>
        <w:trPr>
          <w:cantSplit/>
        </w:trPr>
        <w:tc>
          <w:tcPr>
            <w:tcW w:w="2000" w:type="dxa"/>
            <w:shd w:fill="F3F7F9"/>
            <w:vAlign w:val="top"/>
          </w:tcPr>
          <w:p>
            <w:pPr>
              <w:pStyle w:val="Compact"/>
              <w:keepLines/>
              <w:widowControl/>
              <w:spacing w:before="0" w:after="40" w:line="240" w:lineRule="auto"/>
              <w:jc w:val="center"/>
            </w:pPr>
            <ns5:oMath>
              <ns5:r>
                <ns5:t>s</ns5:t>
              </ns5:r>
            </ns5:oMath>
            <w:r>
              <w:rPr>
                <w:sz w:val="20"/>
                <w:szCs w:val="20"/>
              </w:rPr>
              <w:t xml:space="preserve"> </w:t>
            </w:r>
            <w:r>
              <w:rPr>
                <w:sz w:val="20"/>
                <w:szCs w:val="20"/>
              </w:rPr>
              <w:t xml:space="preserve">und</w:t>
            </w:r>
            <w:r>
              <w:rPr>
                <w:sz w:val="20"/>
                <w:szCs w:val="20"/>
              </w:rPr>
              <w:t xml:space="preserve"> </w:t>
            </w:r>
            <ns5:oMath>
              <ns5:r>
                <ns5:t>σ</ns5:t>
              </ns5:r>
            </ns5:oMath>
          </w:p>
        </w:tc>
        <w:tc>
          <w:tcPr>
            <w:tcW w:w="3810" w:type="dxa"/>
            <w:shd w:fill="F3F7F9"/>
            <w:vAlign w:val="top"/>
          </w:tcPr>
          <w:p>
            <w:pPr>
              <w:pStyle w:val="Compact"/>
              <w:keepLines/>
              <w:widowControl/>
              <w:spacing w:before="0" w:after="40" w:line="240" w:lineRule="auto"/>
              <w:jc w:val="center"/>
            </w:pPr>
            <w:r>
              <w:rPr>
                <w:sz w:val="20"/>
                <w:szCs w:val="20"/>
              </w:rPr>
              <w:t xml:space="preserve">Stichproben-SD und Populations-SD</w:t>
            </w:r>
          </w:p>
        </w:tc>
        <w:tc>
          <w:tcPr>
            <w:tcW w:w="3714" w:type="dxa"/>
            <w:shd w:fill="F3F7F9"/>
            <w:vAlign w:val="top"/>
          </w:tcPr>
          <w:p>
            <w:pPr>
              <w:pStyle w:val="Compact"/>
              <w:keepLines/>
              <w:widowControl/>
              <w:spacing w:before="0" w:after="40" w:line="240" w:lineRule="auto"/>
              <w:jc w:val="center"/>
            </w:pPr>
            <w:r>
              <w:rPr>
                <w:sz w:val="20"/>
                <w:szCs w:val="20"/>
              </w:rPr>
              <w:t xml:space="preserve">Wie lautet die ursprüngliche Messeinheit?</w:t>
            </w:r>
          </w:p>
        </w:tc>
      </w:tr>
      <w:tr>
        <w:trPr>
          <w:cantSplit/>
        </w:trPr>
        <w:tc>
          <w:tcPr>
            <w:tcW w:w="2000" w:type="dxa"/>
            <w:shd w:fill="FFFFFF"/>
            <w:vAlign w:val="top"/>
          </w:tcPr>
          <w:p>
            <w:pPr>
              <w:pStyle w:val="Compact"/>
              <w:keepLines/>
              <w:widowControl/>
              <w:spacing w:before="0" w:after="40" w:line="240" w:lineRule="auto"/>
              <w:jc w:val="center"/>
            </w:pPr>
            <ns5:oMath>
              <ns5:r>
                <ns5:rPr>
                  <ns5:sty ns5:val="p"/>
                </ns5:rPr>
                <ns5:t>∑</ns5:t>
              </ns5:r>
            </ns5:oMath>
          </w:p>
        </w:tc>
        <w:tc>
          <w:tcPr>
            <w:tcW w:w="3810" w:type="dxa"/>
            <w:shd w:fill="FFFFFF"/>
            <w:vAlign w:val="top"/>
          </w:tcPr>
          <w:p>
            <w:pPr>
              <w:pStyle w:val="Compact"/>
              <w:keepLines/>
              <w:widowControl/>
              <w:spacing w:before="0" w:after="40" w:line="240" w:lineRule="auto"/>
              <w:jc w:val="center"/>
            </w:pPr>
            <w:r>
              <w:rPr>
                <w:sz w:val="20"/>
                <w:szCs w:val="20"/>
              </w:rPr>
              <w:t xml:space="preserve">Den angegebenen Ausdruck über seinen Indexbereich addieren</w:t>
            </w:r>
          </w:p>
        </w:tc>
        <w:tc>
          <w:tcPr>
            <w:tcW w:w="3714" w:type="dxa"/>
            <w:shd w:fill="FFFFFF"/>
            <w:vAlign w:val="top"/>
          </w:tcPr>
          <w:p>
            <w:pPr>
              <w:pStyle w:val="Compact"/>
              <w:keepLines/>
              <w:widowControl/>
              <w:spacing w:before="0" w:after="40" w:line="240" w:lineRule="auto"/>
              <w:jc w:val="center"/>
            </w:pPr>
            <w:r>
              <w:rPr>
                <w:sz w:val="20"/>
                <w:szCs w:val="20"/>
              </w:rPr>
              <w:t xml:space="preserve">Was ist der Summand, und wie lauten die Grenzen?</w:t>
            </w:r>
          </w:p>
        </w:tc>
      </w:tr>
    </w:tbl>
    <w:bookmarkEnd w:id="23"/>
    <w:p/>
    <w:p>
      <w:pPr>
        <w:pStyle w:val="BodyText"/>
      </w:pPr>
      <w:r>
        <w:t xml:space="preserve">Bestimme vor dem Berichten eines Ergebnisses die Fälle und Variablen, prüfe fehlende oder unzulässige Werte, bestimme das Skalenniveau, untersuche die Verteilung, wähle eine passende Lage und Streuung und benenne, was die Kennwerte über die Grundgesamtheit oder Kausalität nicht belegen können.</w:t>
      </w:r>
    </w:p>
    <w:p>
      <w:pPr>
        <w:pBdr>
          <w:bottom w:val="single" w:sz="4" w:space="6" w:color="B8C6CF"/>
        </w:pBdr>
        <w:spacing w:before="60" w:after="100"/>
      </w:pPr>
    </w:p>
    <w:bookmarkEnd w:id="24"/>
    <w:bookmarkStart w:id="26" w:name="skalenniveaus"/>
    <w:p>
      <w:pPr>
        <w:pStyle w:val="Heading2"/>
      </w:pPr>
      <w:r>
        <w:t xml:space="preserve">Skalenniveaus</w:t>
      </w:r>
    </w:p>
    <w:p>
      <w:pPr>
        <w:pStyle w:val="FirstParagraph"/>
      </w:pPr>
      <w:r>
        <w:t xml:space="preserve">Fünf Skalenniveaus bestimmen, welche Operationen und Kennwerte zulässig sind. Jedes Niveau ergänzt Eigenschaften des darüberstehenden Niveaus.</w:t>
      </w:r>
    </w:p>
    <w:bookmarkStart w:id="25" w:name="tbl-summary-measurement-levels"/>
    <w:p>
      <w:pPr>
        <w:pStyle w:val="TableCaption"/>
        <w:keepNext/>
        <w:keepLines/>
        <w:widowControl/>
        <w:spacing w:before="120" w:after="80"/>
        <w:jc w:val="left"/>
      </w:pPr>
      <w:r>
        <w:t xml:space="preserve">Tabelle 2: Messeigenschaften, zulässige Transformationen und zentrale Kennwerte.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1524"/>
        <w:gridCol w:w="2667"/>
        <w:gridCol w:w="2476"/>
        <w:gridCol w:w="2857"/>
      </w:tblGrid>
      <w:tr>
        <w:trPr>
          <w:cantSplit/>
          <w:tblHeader w:val="on"/>
        </w:trPr>
        <w:tc>
          <w:tcPr>
            <w:tcW w:w="1524" w:type="dxa"/>
            <w:shd w:fill="EAF2F6"/>
            <w:vAlign w:val="center"/>
          </w:tcPr>
          <w:p>
            <w:pPr>
              <w:pStyle w:val="Compact"/>
              <w:keepLines/>
              <w:widowControl/>
              <w:spacing w:before="0" w:after="40" w:line="240" w:lineRule="auto"/>
              <w:jc w:val="left"/>
            </w:pPr>
            <w:r>
              <w:rPr>
                <w:b/>
                <w:color w:val="183B56"/>
                <w:sz w:val="20"/>
                <w:szCs w:val="20"/>
              </w:rPr>
              <w:t xml:space="preserve">Skala</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Definierende Eigenschaft</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Zulässige Umcodierung</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Zentrale Kennwerte</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Nominal</w:t>
            </w:r>
          </w:p>
        </w:tc>
        <w:tc>
          <w:tcPr>
            <w:tcW w:w="2667" w:type="dxa"/>
            <w:shd w:fill="F3F7F9"/>
            <w:vAlign w:val="top"/>
          </w:tcPr>
          <w:p>
            <w:pPr>
              <w:pStyle w:val="Compact"/>
              <w:keepLines/>
              <w:widowControl/>
              <w:spacing w:before="0" w:after="40" w:line="240" w:lineRule="auto"/>
              <w:jc w:val="center"/>
            </w:pPr>
            <w:r>
              <w:rPr>
                <w:sz w:val="20"/>
                <w:szCs w:val="20"/>
              </w:rPr>
              <w:t xml:space="preserve">Kategorien ohne Reihenfolge</w:t>
            </w:r>
          </w:p>
        </w:tc>
        <w:tc>
          <w:tcPr>
            <w:tcW w:w="2476" w:type="dxa"/>
            <w:shd w:fill="F3F7F9"/>
            <w:vAlign w:val="top"/>
          </w:tcPr>
          <w:p>
            <w:pPr>
              <w:pStyle w:val="Compact"/>
              <w:keepLines/>
              <w:widowControl/>
              <w:spacing w:before="0" w:after="40" w:line="240" w:lineRule="auto"/>
              <w:jc w:val="center"/>
            </w:pPr>
            <w:r>
              <w:rPr>
                <w:sz w:val="20"/>
                <w:szCs w:val="20"/>
              </w:rPr>
              <w:t xml:space="preserve">Eineindeutige Umbenennung</w:t>
            </w:r>
          </w:p>
        </w:tc>
        <w:tc>
          <w:tcPr>
            <w:tcW w:w="2857" w:type="dxa"/>
            <w:shd w:fill="F3F7F9"/>
            <w:vAlign w:val="top"/>
          </w:tcPr>
          <w:p>
            <w:pPr>
              <w:pStyle w:val="Compact"/>
              <w:keepLines/>
              <w:widowControl/>
              <w:spacing w:before="0" w:after="40" w:line="240" w:lineRule="auto"/>
              <w:jc w:val="center"/>
            </w:pPr>
            <w:r>
              <w:rPr>
                <w:sz w:val="20"/>
                <w:szCs w:val="20"/>
              </w:rPr>
              <w:t xml:space="preserve">Häufigkeiten, Anteile, Modalwert</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Ordinal</w:t>
            </w:r>
          </w:p>
        </w:tc>
        <w:tc>
          <w:tcPr>
            <w:tcW w:w="2667" w:type="dxa"/>
            <w:shd w:fill="FFFFFF"/>
            <w:vAlign w:val="top"/>
          </w:tcPr>
          <w:p>
            <w:pPr>
              <w:pStyle w:val="Compact"/>
              <w:keepLines/>
              <w:widowControl/>
              <w:spacing w:before="0" w:after="40" w:line="240" w:lineRule="auto"/>
              <w:jc w:val="center"/>
            </w:pPr>
            <w:r>
              <w:rPr>
                <w:sz w:val="20"/>
                <w:szCs w:val="20"/>
              </w:rPr>
              <w:t xml:space="preserve">Geordnete Kategorien, ungleiche Abstände</w:t>
            </w:r>
          </w:p>
        </w:tc>
        <w:tc>
          <w:tcPr>
            <w:tcW w:w="2476" w:type="dxa"/>
            <w:shd w:fill="FFFFFF"/>
            <w:vAlign w:val="top"/>
          </w:tcPr>
          <w:p>
            <w:pPr>
              <w:pStyle w:val="Compact"/>
              <w:keepLines/>
              <w:widowControl/>
              <w:spacing w:before="0" w:after="40" w:line="240" w:lineRule="auto"/>
              <w:jc w:val="center"/>
            </w:pPr>
            <w:r>
              <w:rPr>
                <w:sz w:val="20"/>
                <w:szCs w:val="20"/>
              </w:rPr>
              <w:t xml:space="preserve">Streng monoton steigende Umcodierung</w:t>
            </w:r>
          </w:p>
        </w:tc>
        <w:tc>
          <w:tcPr>
            <w:tcW w:w="2857" w:type="dxa"/>
            <w:shd w:fill="FFFFFF"/>
            <w:vAlign w:val="top"/>
          </w:tcPr>
          <w:p>
            <w:pPr>
              <w:pStyle w:val="Compact"/>
              <w:keepLines/>
              <w:widowControl/>
              <w:spacing w:before="0" w:after="40" w:line="240" w:lineRule="auto"/>
              <w:jc w:val="center"/>
            </w:pPr>
            <w:r>
              <w:rPr>
                <w:sz w:val="20"/>
                <w:szCs w:val="20"/>
              </w:rPr>
              <w:t xml:space="preserve">Häufigkeiten, Anteile, Median, Perzentile, Modalwert</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Intervall</w:t>
            </w:r>
          </w:p>
        </w:tc>
        <w:tc>
          <w:tcPr>
            <w:tcW w:w="2667" w:type="dxa"/>
            <w:shd w:fill="F3F7F9"/>
            <w:vAlign w:val="top"/>
          </w:tcPr>
          <w:p>
            <w:pPr>
              <w:pStyle w:val="Compact"/>
              <w:keepLines/>
              <w:widowControl/>
              <w:spacing w:before="0" w:after="40" w:line="240" w:lineRule="auto"/>
              <w:jc w:val="center"/>
            </w:pPr>
            <w:r>
              <w:rPr>
                <w:sz w:val="20"/>
                <w:szCs w:val="20"/>
              </w:rPr>
              <w:t xml:space="preserve">Gleiche Abstände, festgelegter Nullpunkt</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a</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3F7F9"/>
            <w:vAlign w:val="top"/>
          </w:tcPr>
          <w:p>
            <w:pPr>
              <w:pStyle w:val="Compact"/>
              <w:keepLines/>
              <w:widowControl/>
              <w:spacing w:before="0" w:after="40" w:line="240" w:lineRule="auto"/>
              <w:jc w:val="center"/>
            </w:pPr>
            <w:r>
              <w:rPr>
                <w:sz w:val="20"/>
                <w:szCs w:val="20"/>
              </w:rPr>
              <w:t xml:space="preserve">Mittelwert, SD, Differenzen, Korrelation</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Verhältnis</w:t>
            </w:r>
          </w:p>
        </w:tc>
        <w:tc>
          <w:tcPr>
            <w:tcW w:w="2667" w:type="dxa"/>
            <w:shd w:fill="FFFFFF"/>
            <w:vAlign w:val="top"/>
          </w:tcPr>
          <w:p>
            <w:pPr>
              <w:pStyle w:val="Compact"/>
              <w:keepLines/>
              <w:widowControl/>
              <w:spacing w:before="0" w:after="40" w:line="240" w:lineRule="auto"/>
              <w:jc w:val="center"/>
            </w:pPr>
            <w:r>
              <w:rPr>
                <w:sz w:val="20"/>
                <w:szCs w:val="20"/>
              </w:rPr>
              <w:t xml:space="preserve">Gleiche Abstände, natürlicher Nullpunkt</w:t>
            </w:r>
          </w:p>
        </w:tc>
        <w:tc>
          <w:tcPr>
            <w:tcW w:w="2476" w:type="dxa"/>
            <w:shd w:fill="FFFFFF"/>
            <w:vAlign w:val="top"/>
          </w:tcPr>
          <w:p>
            <w:pPr>
              <w:pStyle w:val="Compact"/>
              <w:keepLines/>
              <w:widowControl/>
              <w:spacing w:before="0" w:after="40" w:line="240" w:lineRule="auto"/>
              <w:jc w:val="center"/>
            </w:pPr>
            <ns5:oMath>
              <ns5:r>
                <ns5:t>y</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FFFFF"/>
            <w:vAlign w:val="top"/>
          </w:tcPr>
          <w:p>
            <w:pPr>
              <w:pStyle w:val="Compact"/>
              <w:keepLines/>
              <w:widowControl/>
              <w:spacing w:before="0" w:after="40" w:line="240" w:lineRule="auto"/>
              <w:jc w:val="center"/>
            </w:pPr>
            <w:r>
              <w:rPr>
                <w:sz w:val="20"/>
                <w:szCs w:val="20"/>
              </w:rPr>
              <w:t xml:space="preserve">Kennwerte der Intervallskala und sinnvolle Verhältnisse</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Absolut</w:t>
            </w:r>
          </w:p>
        </w:tc>
        <w:tc>
          <w:tcPr>
            <w:tcW w:w="2667" w:type="dxa"/>
            <w:shd w:fill="F3F7F9"/>
            <w:vAlign w:val="top"/>
          </w:tcPr>
          <w:p>
            <w:pPr>
              <w:pStyle w:val="Compact"/>
              <w:keepLines/>
              <w:widowControl/>
              <w:spacing w:before="0" w:after="40" w:line="240" w:lineRule="auto"/>
              <w:jc w:val="center"/>
            </w:pPr>
            <w:r>
              <w:rPr>
                <w:sz w:val="20"/>
                <w:szCs w:val="20"/>
              </w:rPr>
              <w:t xml:space="preserve">Natürlicher Nullpunkt und feste natürliche Einheit</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x</ns5:t>
              </ns5:r>
            </ns5:oMath>
          </w:p>
        </w:tc>
        <w:tc>
          <w:tcPr>
            <w:tcW w:w="2857" w:type="dxa"/>
            <w:shd w:fill="F3F7F9"/>
            <w:vAlign w:val="top"/>
          </w:tcPr>
          <w:p>
            <w:pPr>
              <w:pStyle w:val="Compact"/>
              <w:keepLines/>
              <w:widowControl/>
              <w:spacing w:before="0" w:after="40" w:line="240" w:lineRule="auto"/>
              <w:jc w:val="center"/>
            </w:pPr>
            <w:r>
              <w:rPr>
                <w:sz w:val="20"/>
                <w:szCs w:val="20"/>
              </w:rPr>
              <w:t xml:space="preserve">Kennwerte der Verhältnisskala und Anzahlen</w:t>
            </w:r>
          </w:p>
        </w:tc>
      </w:tr>
    </w:tbl>
    <w:bookmarkEnd w:id="25"/>
    <w:p/>
    <w:p>
      <w:pPr>
        <w:pStyle w:val="BodyText"/>
      </w:pPr>
      <w:r>
        <w:t xml:space="preserve">Intervall-, Verhältnis- und Absolutskalen werden zusammen als</w:t>
      </w:r>
      <w:r>
        <w:t xml:space="preserve"> </w:t>
      </w:r>
      <w:r>
        <w:rPr>
          <w:b/>
          <w:bCs/>
        </w:rPr>
        <w:t xml:space="preserve">metrische Skalen</w:t>
      </w:r>
      <w:r>
        <w:t xml:space="preserve"> </w:t>
      </w:r>
      <w:r>
        <w:t xml:space="preserve">bezeichnet.</w:t>
      </w:r>
    </w:p>
    <w:p>
      <w:pPr>
        <w:pBdr>
          <w:bottom w:val="single" w:sz="4" w:space="6" w:color="B8C6CF"/>
        </w:pBdr>
        <w:spacing w:before="60" w:after="100"/>
      </w:pPr>
    </w:p>
    <w:bookmarkEnd w:id="26"/>
    <w:bookmarkStart w:id="28" w:name="häufigkeitsverteilungen"/>
    <w:p>
      <w:pPr>
        <w:pStyle w:val="Heading2"/>
      </w:pPr>
      <w:r>
        <w:t xml:space="preserve">Häufigkeitsverteilungen</w:t>
      </w:r>
    </w:p>
    <w:bookmarkStart w:id="27" w:name="tbl-summary-frequencies"/>
    <w:p>
      <w:pPr>
        <w:pStyle w:val="TableCaption"/>
        <w:keepNext/>
        <w:keepLines/>
        <w:widowControl/>
        <w:spacing w:before="120" w:after="80"/>
        <w:jc w:val="left"/>
      </w:pPr>
      <w:r>
        <w:t xml:space="preserve">Tabelle 3: Kompakte Übersicht zu Häufigkeitsverteilungen.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Grösse</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Formel</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Absolute Häufigkeit</w:t>
            </w:r>
          </w:p>
        </w:tc>
        <w:tc>
          <w:tcPr>
            <w:tcW w:w="2286" w:type="dxa"/>
            <w:shd w:fill="F3F7F9"/>
            <w:vAlign w:val="top"/>
          </w:tcPr>
          <w:p>
            <w:pPr>
              <w:pStyle w:val="Compact"/>
              <w:keepLines/>
              <w:widowControl/>
              <w:spacing w:before="0" w:after="40" w:line="240" w:lineRule="auto"/>
              <w:jc w:val="center"/>
            </w:pPr>
            <ns5:oMath>
              <ns5:sSub>
                <ns5:e>
                  <ns5:r>
                    <ns5:t>n</ns5:t>
                  </ns5:r>
                </ns5:e>
                <ns5:sub>
                  <ns5:r>
                    <ns5:t>j</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Anzahl Beobachtungen in Kategorie</w:t>
            </w:r>
            <w:r>
              <w:rPr>
                <w:sz w:val="20"/>
                <w:szCs w:val="20"/>
              </w:rPr>
              <w:t xml:space="preserve"> </w:t>
            </w:r>
            <ns5:oMath>
              <ns5:r>
                <ns5:t>j</ns5:t>
              </ns5:r>
            </ns5:oMath>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Relative Häufigkeit</w:t>
            </w:r>
          </w:p>
        </w:tc>
        <w:tc>
          <w:tcPr>
            <w:tcW w:w="2286" w:type="dxa"/>
            <w:shd w:fill="FFFFFF"/>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sSub>
                <ns5:e>
                  <ns5:r>
                    <ns5:t>n</ns5:t>
                  </ns5:r>
                </ns5:e>
                <ns5:sub>
                  <ns5:r>
                    <ns5:t>j</ns5:t>
                  </ns5:r>
                </ns5:sub>
              </ns5:sSub>
              <ns5:r>
                <ns5:rPr>
                  <ns5:sty ns5:val="p"/>
                </ns5:rPr>
                <ns5:t>/</ns5:t>
              </ns5:r>
              <ns5:r>
                <ns5:t>n</ns5:t>
              </ns5:r>
            </ns5:oMath>
          </w:p>
        </w:tc>
        <w:tc>
          <w:tcPr>
            <w:tcW w:w="4190" w:type="dxa"/>
            <w:shd w:fill="FFFFFF"/>
            <w:vAlign w:val="top"/>
          </w:tcPr>
          <w:p>
            <w:pPr>
              <w:pStyle w:val="Compact"/>
              <w:keepLines/>
              <w:widowControl/>
              <w:spacing w:before="0" w:after="40" w:line="240" w:lineRule="auto"/>
              <w:jc w:val="center"/>
            </w:pPr>
            <w:r>
              <w:rPr>
                <w:sz w:val="20"/>
                <w:szCs w:val="20"/>
              </w:rPr>
              <w:t xml:space="preserve">Anteil in Kategorie</w:t>
            </w:r>
            <w:r>
              <w:rPr>
                <w:sz w:val="20"/>
                <w:szCs w:val="20"/>
              </w:rPr>
              <w:t xml:space="preserve"> </w:t>
            </w:r>
            <ns5:oMath>
              <ns5:r>
                <ns5:t>j</ns5:t>
              </ns5:r>
            </ns5:oMath>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Kumulative relative Häufigkeit</w:t>
            </w:r>
          </w:p>
        </w:tc>
        <w:tc>
          <w:tcPr>
            <w:tcW w:w="2286" w:type="dxa"/>
            <w:shd w:fill="F3F7F9"/>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nary>
                <ns5:naryPr>
                  <ns5:chr ns5:val="∑"/>
                  <ns5:limLoc ns5:val="undOvr"/>
                  <ns5:subHide ns5:val="off"/>
                  <ns5:supHide ns5:val="off"/>
                </ns5:naryPr>
                <ns5:sub>
                  <ns5:r>
                    <ns5:t>k</ns5:t>
                  </ns5:r>
                  <ns5:r>
                    <ns5:rPr>
                      <ns5:sty ns5:val="p"/>
                    </ns5:rPr>
                    <ns5:t>=</ns5:t>
                  </ns5:r>
                  <ns5:r>
                    <ns5:t>1</ns5:t>
                  </ns5:r>
                </ns5:sub>
                <ns5:sup>
                  <ns5:r>
                    <ns5:t>j</ns5:t>
                  </ns5:r>
                </ns5:sup>
                <ns5:e>
                  <ns5:sSub>
                    <ns5:e>
                      <ns5:r>
                        <ns5:t>f</ns5:t>
                      </ns5:r>
                    </ns5:e>
                    <ns5:sub>
                      <ns5:r>
                        <ns5:t>k</ns5:t>
                      </ns5:r>
                    </ns5:sub>
                  </ns5:sSub>
                </ns5:e>
              </ns5:nary>
            </ns5:oMath>
          </w:p>
        </w:tc>
        <w:tc>
          <w:tcPr>
            <w:tcW w:w="4190" w:type="dxa"/>
            <w:shd w:fill="F3F7F9"/>
            <w:vAlign w:val="top"/>
          </w:tcPr>
          <w:p>
            <w:pPr>
              <w:pStyle w:val="Compact"/>
              <w:keepLines/>
              <w:widowControl/>
              <w:spacing w:before="0" w:after="40" w:line="240" w:lineRule="auto"/>
              <w:jc w:val="center"/>
            </w:pPr>
            <w:r>
              <w:rPr>
                <w:sz w:val="20"/>
                <w:szCs w:val="20"/>
              </w:rPr>
              <w:t xml:space="preserve">Anteil bis einschliesslich geordneter Kategorie</w:t>
            </w:r>
            <w:r>
              <w:rPr>
                <w:sz w:val="20"/>
                <w:szCs w:val="20"/>
              </w:rPr>
              <w:t xml:space="preserve"> </w:t>
            </w:r>
            <ns5:oMath>
              <ns5:r>
                <ns5:t>j</ns5:t>
              </ns5:r>
            </ns5:oMath>
          </w:p>
        </w:tc>
      </w:tr>
    </w:tbl>
    <w:bookmarkEnd w:id="27"/>
    <w:p/>
    <w:p>
      <w:pPr>
        <w:pStyle w:val="BodyText"/>
      </w:pPr>
      <w:r>
        <w:t xml:space="preserve">Absolute Häufigkeiten summieren sich zu</w:t>
      </w:r>
      <w:r>
        <w:t xml:space="preserve"> </w:t>
      </w:r>
      <ns5:oMath>
        <ns5:r>
          <ns5:t>n</ns5:t>
        </ns5:r>
      </ns5:oMath>
      <w:r>
        <w:t xml:space="preserve"> </w:t>
      </w:r>
      <w:r>
        <w:t xml:space="preserve">und relative Häufigkeiten, abgesehen von Rundungsabweichungen, zu 1. Kumulative relative Häufigkeiten setzen eine geordnete Variable voraus und sind für nominale Kategorien nicht sinnvoll.</w:t>
      </w:r>
    </w:p>
    <w:p>
      <w:pPr>
        <w:pBdr>
          <w:bottom w:val="single" w:sz="4" w:space="6" w:color="B8C6CF"/>
        </w:pBdr>
        <w:spacing w:before="60" w:after="100"/>
      </w:pPr>
    </w:p>
    <w:bookmarkEnd w:id="28"/>
    <w:bookmarkStart w:id="30" w:name="zentrale-tendenz"/>
    <w:p>
      <w:pPr>
        <w:pStyle w:val="Heading2"/>
      </w:pPr>
      <w:r>
        <w:t xml:space="preserve">Zentrale Tendenz</w:t>
      </w:r>
    </w:p>
    <w:p>
      <w:pPr>
        <w:pStyle w:val="FirstParagraph"/>
      </w:pPr>
      <w:r>
        <w:t xml:space="preserve">Drei Lagemasse beschreiben einen typischen Wert:</w:t>
      </w:r>
    </w:p>
    <w:bookmarkStart w:id="29" w:name="tbl-summary-central-tendency"/>
    <w:p>
      <w:pPr>
        <w:pStyle w:val="TableCaption"/>
        <w:keepNext/>
        <w:keepLines/>
        <w:widowControl/>
        <w:spacing w:before="120" w:after="80"/>
        <w:jc w:val="left"/>
      </w:pPr>
      <w:r>
        <w:t xml:space="preserve">Tabelle 4: Lagemasse und ihre Verwendung.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048"/>
        <w:gridCol w:w="4000"/>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Kennwert</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Formel</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Geeignete Verwendung</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Mittelwert</w:t>
            </w:r>
          </w:p>
        </w:tc>
        <w:tc>
          <w:tcPr>
            <w:tcW w:w="3048" w:type="dxa"/>
            <w:shd w:fill="F3F7F9"/>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w:p>
        </w:tc>
        <w:tc>
          <w:tcPr>
            <w:tcW w:w="4000" w:type="dxa"/>
            <w:shd w:fill="F3F7F9"/>
            <w:vAlign w:val="top"/>
          </w:tcPr>
          <w:p>
            <w:pPr>
              <w:pStyle w:val="Compact"/>
              <w:keepLines/>
              <w:widowControl/>
              <w:spacing w:before="0" w:after="40" w:line="240" w:lineRule="auto"/>
              <w:jc w:val="center"/>
            </w:pPr>
            <w:r>
              <w:rPr>
                <w:sz w:val="20"/>
                <w:szCs w:val="20"/>
              </w:rPr>
              <w:t xml:space="preserve">Symmetrische Verteilungen; metrische Daten</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Median</w:t>
            </w:r>
          </w:p>
        </w:tc>
        <w:tc>
          <w:tcPr>
            <w:tcW w:w="3048" w:type="dxa"/>
            <w:shd w:fill="FFFFFF"/>
            <w:vAlign w:val="top"/>
          </w:tcPr>
          <w:p>
            <w:pPr>
              <w:pStyle w:val="Compact"/>
              <w:keepLines/>
              <w:widowControl/>
              <w:spacing w:before="0" w:after="40" w:line="240" w:lineRule="auto"/>
              <w:jc w:val="center"/>
            </w:pPr>
            <w:r>
              <w:rPr>
                <w:sz w:val="20"/>
                <w:szCs w:val="20"/>
              </w:rPr>
              <w:t xml:space="preserve">Mittlerer Wert der geordneten Daten</w:t>
            </w:r>
          </w:p>
        </w:tc>
        <w:tc>
          <w:tcPr>
            <w:tcW w:w="4000" w:type="dxa"/>
            <w:shd w:fill="FFFFFF"/>
            <w:vAlign w:val="top"/>
          </w:tcPr>
          <w:p>
            <w:pPr>
              <w:pStyle w:val="Compact"/>
              <w:keepLines/>
              <w:widowControl/>
              <w:spacing w:before="0" w:after="40" w:line="240" w:lineRule="auto"/>
              <w:jc w:val="center"/>
            </w:pPr>
            <w:r>
              <w:rPr>
                <w:sz w:val="20"/>
                <w:szCs w:val="20"/>
              </w:rPr>
              <w:t xml:space="preserve">Schiefe Verteilungen; robust gegenüber Ausreissern</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Modalwert</w:t>
            </w:r>
          </w:p>
        </w:tc>
        <w:tc>
          <w:tcPr>
            <w:tcW w:w="3048" w:type="dxa"/>
            <w:shd w:fill="F3F7F9"/>
            <w:vAlign w:val="top"/>
          </w:tcPr>
          <w:p>
            <w:pPr>
              <w:pStyle w:val="Compact"/>
              <w:keepLines/>
              <w:widowControl/>
              <w:spacing w:before="0" w:after="40" w:line="240" w:lineRule="auto"/>
              <w:jc w:val="center"/>
            </w:pPr>
            <w:r>
              <w:rPr>
                <w:sz w:val="20"/>
                <w:szCs w:val="20"/>
              </w:rPr>
              <w:t xml:space="preserve">Häufigster Wert oder häufigste Kategorie</w:t>
            </w:r>
          </w:p>
        </w:tc>
        <w:tc>
          <w:tcPr>
            <w:tcW w:w="4000" w:type="dxa"/>
            <w:shd w:fill="F3F7F9"/>
            <w:vAlign w:val="top"/>
          </w:tcPr>
          <w:p>
            <w:pPr>
              <w:pStyle w:val="Compact"/>
              <w:keepLines/>
              <w:widowControl/>
              <w:spacing w:before="0" w:after="40" w:line="240" w:lineRule="auto"/>
              <w:jc w:val="center"/>
            </w:pPr>
            <w:r>
              <w:rPr>
                <w:sz w:val="20"/>
                <w:szCs w:val="20"/>
              </w:rPr>
              <w:t xml:space="preserve">Jedes Skalenniveau; kann gebunden oder nicht eindeutig sein</w:t>
            </w:r>
          </w:p>
        </w:tc>
      </w:tr>
    </w:tbl>
    <w:bookmarkEnd w:id="29"/>
    <w:p/>
    <w:p>
      <w:pPr>
        <w:pStyle w:val="BodyText"/>
      </w:pPr>
      <w:r>
        <w:t xml:space="preserve">Liegt der Mittelwert deutlich über dem Median, kann dies auf Rechtsschiefe hindeuten, insbesondere wenn ein Histogramm zugleich einen langen rechten Randbereich zeigt. Die Reihenfolge der beiden Kennwerte allein belegt die Verteilungsform nicht.</w:t>
      </w:r>
    </w:p>
    <w:p>
      <w:pPr>
        <w:pBdr>
          <w:bottom w:val="single" w:sz="4" w:space="6" w:color="B8C6CF"/>
        </w:pBdr>
        <w:spacing w:before="60" w:after="100"/>
      </w:pPr>
    </w:p>
    <w:bookmarkEnd w:id="30"/>
    <w:bookmarkStart w:id="32" w:name="variabilität"/>
    <w:p>
      <w:pPr>
        <w:pStyle w:val="Heading2"/>
      </w:pPr>
      <w:r>
        <w:t xml:space="preserve">Variabilität</w:t>
      </w:r>
    </w:p>
    <w:p>
      <w:pPr>
        <w:pStyle w:val="FirstParagraph"/>
      </w:pPr>
      <w:r>
        <w:t xml:space="preserve">Vier Streuungsmasse beschreiben, wie stark sich Personen unterscheiden:</w:t>
      </w:r>
    </w:p>
    <w:bookmarkStart w:id="31" w:name="tbl-summary-variability"/>
    <w:p>
      <w:pPr>
        <w:pStyle w:val="TableCaption"/>
        <w:keepNext/>
        <w:keepLines/>
        <w:widowControl/>
        <w:spacing w:before="120" w:after="80"/>
        <w:jc w:val="left"/>
      </w:pPr>
      <w:r>
        <w:t xml:space="preserve">Tabelle 5: Streuungsmasse und ihre Verwendung.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2667"/>
        <w:gridCol w:w="4190"/>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Kennwert</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Formel</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Geeignete Verwendung</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Spannweite</w:t>
            </w:r>
          </w:p>
        </w:tc>
        <w:tc>
          <w:tcPr>
            <w:tcW w:w="2667" w:type="dxa"/>
            <w:shd w:fill="F3F7F9"/>
            <w:vAlign w:val="top"/>
          </w:tcPr>
          <w:p>
            <w:pPr>
              <w:pStyle w:val="Compact"/>
              <w:keepLines/>
              <w:widowControl/>
              <w:spacing w:before="0" w:after="40" w:line="240" w:lineRule="auto"/>
              <w:jc w:val="center"/>
            </w:pPr>
            <ns5:oMath>
              <ns5:sSub>
                <ns5:e>
                  <ns5:r>
                    <ns5:t>x</ns5:t>
                  </ns5:r>
                </ns5:e>
                <ns5:sub>
                  <ns5:r>
                    <ns5:rPr>
                      <ns5:sty ns5:val="p"/>
                    </ns5:rPr>
                    <ns5:t>max</ns5:t>
                  </ns5:r>
                </ns5:sub>
              </ns5:sSub>
              <ns5:r>
                <ns5:rPr>
                  <ns5:sty ns5:val="p"/>
                </ns5:rPr>
                <ns5:t>−</ns5:t>
              </ns5:r>
              <ns5:sSub>
                <ns5:e>
                  <ns5:r>
                    <ns5:t>x</ns5:t>
                  </ns5:r>
                </ns5:e>
                <ns5:sub>
                  <ns5:r>
                    <ns5:rPr>
                      <ns5:sty ns5:val="p"/>
                    </ns5:rPr>
                    <ns5:t>min</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Einfacher Überblick; empfindlich gegenüber Extremwerten</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IQR</w:t>
            </w:r>
          </w:p>
        </w:tc>
        <w:tc>
          <w:tcPr>
            <w:tcW w:w="2667" w:type="dxa"/>
            <w:shd w:fill="FFFFFF"/>
            <w:vAlign w:val="top"/>
          </w:tcPr>
          <w:p>
            <w:pPr>
              <w:pStyle w:val="Compact"/>
              <w:keepLines/>
              <w:widowControl/>
              <w:spacing w:before="0" w:after="40" w:line="240" w:lineRule="auto"/>
              <w:jc w:val="center"/>
            </w:pPr>
            <ns5:oMath>
              <ns5:sSub>
                <ns5:e>
                  <ns5:r>
                    <ns5:t>Q</ns5:t>
                  </ns5:r>
                </ns5:e>
                <ns5:sub>
                  <ns5:r>
                    <ns5:t>3</ns5:t>
                  </ns5:r>
                </ns5:sub>
              </ns5:sSub>
              <ns5:r>
                <ns5:rPr>
                  <ns5:sty ns5:val="p"/>
                </ns5:rPr>
                <ns5:t>−</ns5:t>
              </ns5:r>
              <ns5:sSub>
                <ns5:e>
                  <ns5:r>
                    <ns5:t>Q</ns5:t>
                  </ns5:r>
                </ns5:e>
                <ns5:sub>
                  <ns5:r>
                    <ns5:t>1</ns5:t>
                  </ns5:r>
                </ns5:sub>
              </ns5:sSub>
            </ns5:oMath>
          </w:p>
        </w:tc>
        <w:tc>
          <w:tcPr>
            <w:tcW w:w="4190" w:type="dxa"/>
            <w:shd w:fill="FFFFFF"/>
            <w:vAlign w:val="top"/>
          </w:tcPr>
          <w:p>
            <w:pPr>
              <w:pStyle w:val="Compact"/>
              <w:keepLines/>
              <w:widowControl/>
              <w:spacing w:before="0" w:after="40" w:line="240" w:lineRule="auto"/>
              <w:jc w:val="center"/>
            </w:pPr>
            <w:r>
              <w:rPr>
                <w:sz w:val="20"/>
                <w:szCs w:val="20"/>
              </w:rPr>
              <w:t xml:space="preserve">Robuste Streuung; zusammen mit dem Median</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Varianz</w:t>
            </w:r>
          </w:p>
        </w:tc>
        <w:tc>
          <w:tcPr>
            <w:tcW w:w="2667" w:type="dxa"/>
            <w:shd w:fill="F3F7F9"/>
            <w:vAlign w:val="top"/>
          </w:tcPr>
          <w:p>
            <w:pPr>
              <w:pStyle w:val="Compact"/>
              <w:keepLines/>
              <w:widowControl/>
              <w:spacing w:before="0" w:after="40" w:line="240" w:lineRule="auto"/>
              <w:jc w:val="center"/>
            </w:p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w:p>
        </w:tc>
        <w:tc>
          <w:tcPr>
            <w:tcW w:w="4190" w:type="dxa"/>
            <w:shd w:fill="F3F7F9"/>
            <w:vAlign w:val="top"/>
          </w:tcPr>
          <w:p>
            <w:pPr>
              <w:pStyle w:val="Compact"/>
              <w:keepLines/>
              <w:widowControl/>
              <w:spacing w:before="0" w:after="40" w:line="240" w:lineRule="auto"/>
              <w:jc w:val="center"/>
            </w:pPr>
            <w:r>
              <w:rPr>
                <w:sz w:val="20"/>
                <w:szCs w:val="20"/>
              </w:rPr>
              <w:t xml:space="preserve">Grundlage der SD und weiterer Kennwerte</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SD</w:t>
            </w:r>
          </w:p>
        </w:tc>
        <w:tc>
          <w:tcPr>
            <w:tcW w:w="2667" w:type="dxa"/>
            <w:shd w:fill="FFFFFF"/>
            <w:vAlign w:val="top"/>
          </w:tcPr>
          <w:p>
            <w:pPr>
              <w:pStyle w:val="Compact"/>
              <w:keepLines/>
              <w:widowControl/>
              <w:spacing w:before="0" w:after="40" w:line="240" w:lineRule="auto"/>
              <w:jc w:val="center"/>
            </w:pPr>
            <ns5:oMath>
              <ns5:r>
                <ns5:t>s</ns5:t>
              </ns5:r>
              <ns5:r>
                <ns5:rPr>
                  <ns5:sty ns5:val="p"/>
                </ns5:rPr>
                <ns5:t>=</ns5:t>
              </ns5:r>
              <ns5:rad>
                <ns5:radPr>
                  <ns5:degHide ns5:val="on"/>
                </ns5:radPr>
                <ns5:deg/>
                <ns5:e>
                  <ns5:sSup>
                    <ns5:e>
                      <ns5:r>
                        <ns5:t>s</ns5:t>
                      </ns5:r>
                    </ns5:e>
                    <ns5:sup>
                      <ns5:r>
                        <ns5:t>2</ns5:t>
                      </ns5:r>
                    </ns5:sup>
                  </ns5:sSup>
                </ns5:e>
              </ns5:rad>
            </ns5:oMath>
          </w:p>
        </w:tc>
        <w:tc>
          <w:tcPr>
            <w:tcW w:w="4190" w:type="dxa"/>
            <w:shd w:fill="FFFFFF"/>
            <w:vAlign w:val="top"/>
          </w:tcPr>
          <w:p>
            <w:pPr>
              <w:pStyle w:val="Compact"/>
              <w:keepLines/>
              <w:widowControl/>
              <w:spacing w:before="0" w:after="40" w:line="240" w:lineRule="auto"/>
              <w:jc w:val="center"/>
            </w:pPr>
            <w:r>
              <w:rPr>
                <w:sz w:val="20"/>
                <w:szCs w:val="20"/>
              </w:rPr>
              <w:t xml:space="preserve">Grössenordnung der Abweichungen vom Mittelwert; zusammen mit dem Mittelwert</w:t>
            </w:r>
          </w:p>
        </w:tc>
      </w:tr>
    </w:tbl>
    <w:bookmarkEnd w:id="31"/>
    <w:p/>
    <w:p>
      <w:pPr>
        <w:pStyle w:val="BodyText"/>
      </w:pPr>
      <w:r>
        <w:t xml:space="preserve">Die Ausreissergrenzen eines Boxplots liegen bei</w:t>
      </w:r>
      <w:r>
        <w:t xml:space="preserve"> </w:t>
      </w:r>
      <ns5:oMath>
        <ns5:sSub>
          <ns5:e>
            <ns5:r>
              <ns5:t>Q</ns5:t>
            </ns5:r>
          </ns5:e>
          <ns5:sub>
            <ns5:r>
              <ns5:t>1</ns5:t>
            </ns5:r>
          </ns5:sub>
        </ns5:sSub>
        <ns5:r>
          <ns5:rPr>
            <ns5:sty ns5:val="p"/>
          </ns5:rPr>
          <ns5:t>−</ns5:t>
        </ns5:r>
        <ns5:r>
          <ns5:t>1.5</ns5:t>
        </ns5:r>
        <ns5:r>
          <ns5:rPr>
            <ns5:sty ns5:val="p"/>
          </ns5:rPr>
          <ns5:t>⋅</ns5:t>
        </ns5:r>
        <ns5:r>
          <ns5:rPr>
            <ns5:nor/>
            <ns5:sty ns5:val="p"/>
          </ns5:rPr>
          <ns5:t>IQR</ns5:t>
        </ns5:r>
      </ns5:oMath>
      <w:r>
        <w:t xml:space="preserve"> </w:t>
      </w:r>
      <w:r>
        <w:t xml:space="preserve">und</w:t>
      </w:r>
      <w:r>
        <w:t xml:space="preserve"> </w:t>
      </w:r>
      <ns5:oMath>
        <ns5:sSub>
          <ns5:e>
            <ns5:r>
              <ns5:t>Q</ns5:t>
            </ns5:r>
          </ns5:e>
          <ns5:sub>
            <ns5:r>
              <ns5:t>3</ns5:t>
            </ns5:r>
          </ns5:sub>
        </ns5:sSub>
        <ns5:r>
          <ns5:rPr>
            <ns5:sty ns5:val="p"/>
          </ns5:rPr>
          <ns5:t>+</ns5:t>
        </ns5:r>
        <ns5:r>
          <ns5:t>1.5</ns5:t>
        </ns5:r>
        <ns5:r>
          <ns5:rPr>
            <ns5:sty ns5:val="p"/>
          </ns5:rPr>
          <ns5:t>⋅</ns5:t>
        </ns5:r>
        <ns5:r>
          <ns5:rPr>
            <ns5:nor/>
            <ns5:sty ns5:val="p"/>
          </ns5:rPr>
          <ns5:t>IQR</ns5:t>
        </ns5:r>
      </ns5:oMath>
      <w:r>
        <w:t xml:space="preserve">. Die Whisker reichen bis zu den äussersten beobachteten Werten innerhalb dieser Grenzen. Werte ausserhalb werden als mögliche Ausreisser markiert.</w:t>
      </w:r>
    </w:p>
    <w:p>
      <w:pPr>
        <w:pBdr>
          <w:bottom w:val="single" w:sz="4" w:space="6" w:color="B8C6CF"/>
        </w:pBdr>
        <w:spacing w:before="60" w:after="100"/>
      </w:pPr>
    </w:p>
    <w:bookmarkEnd w:id="32"/>
    <w:bookmarkStart w:id="34" w:name="lineare-transformationen"/>
    <w:p>
      <w:pPr>
        <w:pStyle w:val="Heading2"/>
      </w:pPr>
      <w:r>
        <w:t xml:space="preserve">Lineare Transformationen</w:t>
      </w:r>
    </w:p>
    <w:p>
      <w:pPr>
        <w:pStyle w:val="FirstParagraph"/>
      </w:pPr>
      <w:r>
        <w:t xml:space="preserve">Eine lineare Transformation</w:t>
      </w:r>
      <w:r>
        <w:t xml:space="preserve"> </w:t>
      </w:r>
      <ns5:oMath>
        <ns5:sSub>
          <ns5:e>
            <ns5:r>
              <ns5:t>y</ns5:t>
            </ns5:r>
          </ns5:e>
          <ns5:sub>
            <ns5:r>
              <ns5:t>i</ns5:t>
            </ns5:r>
          </ns5:sub>
        </ns5:sSub>
        <ns5:r>
          <ns5:rPr>
            <ns5:sty ns5:val="p"/>
          </ns5:rPr>
          <ns5:t>=</ns5:t>
        </ns5:r>
        <ns5:r>
          <ns5:t>a</ns5:t>
        </ns5:r>
        <ns5:r>
          <ns5:rPr>
            <ns5:sty ns5:val="p"/>
          </ns5:rPr>
          <ns5:t>+</ns5:t>
        </ns5:r>
        <ns5:r>
          <ns5:t>b</ns5:t>
        </ns5:r>
        <ns5:r>
          <ns5:rPr>
            <ns5:sty ns5:val="p"/>
          </ns5:rPr>
          <ns5:t>⋅</ns5:t>
        </ns5:r>
        <ns5:sSub>
          <ns5:e>
            <ns5:r>
              <ns5:t>x</ns5:t>
            </ns5:r>
          </ns5:e>
          <ns5:sub>
            <ns5:r>
              <ns5:t>i</ns5:t>
            </ns5:r>
          </ns5:sub>
        </ns5:sSub>
      </ns5:oMath>
      <w:r>
        <w:t xml:space="preserve"> </w:t>
      </w:r>
      <w:r>
        <w:t xml:space="preserve">verändert Kennwerte nach festen Regeln:</w:t>
      </w:r>
    </w:p>
    <w:bookmarkStart w:id="33" w:name="tbl-summary-linear-transformations"/>
    <w:p>
      <w:pPr>
        <w:pStyle w:val="TableCaption"/>
        <w:keepNext/>
        <w:keepLines/>
        <w:widowControl/>
        <w:spacing w:before="120" w:after="80"/>
        <w:jc w:val="left"/>
      </w:pPr>
      <w:r>
        <w:t xml:space="preserve">Tabelle 6: Wirkung einer linearen Transformation auf deskriptive Kennwerte.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905"/>
        <w:gridCol w:w="3143"/>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Grösse</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Transformationsregel</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Wirkung</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Mittelwert</w:t>
            </w:r>
          </w:p>
        </w:tc>
        <w:tc>
          <w:tcPr>
            <w:tcW w:w="3905" w:type="dxa"/>
            <w:shd w:fill="F3F7F9"/>
            <w:vAlign w:val="top"/>
          </w:tcPr>
          <w:p>
            <w:pPr>
              <w:pStyle w:val="Compact"/>
              <w:keepLines/>
              <w:widowControl/>
              <w:spacing w:before="0" w:after="40" w:line="240" w:lineRule="auto"/>
              <w:jc w:val="center"/>
            </w:p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p>
        </w:tc>
        <w:tc>
          <w:tcPr>
            <w:tcW w:w="3143" w:type="dxa"/>
            <w:shd w:fill="F3F7F9"/>
            <w:vAlign w:val="top"/>
          </w:tcPr>
          <w:p>
            <w:pPr>
              <w:pStyle w:val="Compact"/>
              <w:keepLines/>
              <w:widowControl/>
              <w:spacing w:before="0" w:after="40" w:line="240" w:lineRule="auto"/>
              <w:jc w:val="center"/>
            </w:pPr>
            <w:r>
              <w:rPr>
                <w:sz w:val="20"/>
                <w:szCs w:val="20"/>
              </w:rPr>
              <w:t xml:space="preserve">Um</w:t>
            </w:r>
            <w:r>
              <w:rPr>
                <w:sz w:val="20"/>
                <w:szCs w:val="20"/>
              </w:rPr>
              <w:t xml:space="preserve"> </w:t>
            </w:r>
            <ns5:oMath>
              <ns5:r>
                <ns5:t>a</ns5:t>
              </ns5:r>
            </ns5:oMath>
            <w:r>
              <w:rPr>
                <w:sz w:val="20"/>
                <w:szCs w:val="20"/>
              </w:rPr>
              <w:t xml:space="preserve"> </w:t>
            </w:r>
            <w:r>
              <w:rPr>
                <w:sz w:val="20"/>
                <w:szCs w:val="20"/>
              </w:rPr>
              <w:t xml:space="preserve">verschoben und mit</w:t>
            </w:r>
            <w:r>
              <w:rPr>
                <w:sz w:val="20"/>
                <w:szCs w:val="20"/>
              </w:rPr>
              <w:t xml:space="preserve"> </w:t>
            </w:r>
            <ns5:oMath>
              <ns5:r>
                <ns5:t>b</ns5:t>
              </ns5:r>
            </ns5:oMath>
            <w:r>
              <w:rPr>
                <w:sz w:val="20"/>
                <w:szCs w:val="20"/>
              </w:rPr>
              <w:t xml:space="preserve"> </w:t>
            </w:r>
            <w:r>
              <w:rPr>
                <w:sz w:val="20"/>
                <w:szCs w:val="20"/>
              </w:rPr>
              <w:t xml:space="preserve">skaliert</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Varianz</w:t>
            </w:r>
          </w:p>
        </w:tc>
        <w:tc>
          <w:tcPr>
            <w:tcW w:w="3905" w:type="dxa"/>
            <w:shd w:fill="FFFFFF"/>
            <w:vAlign w:val="top"/>
          </w:tcPr>
          <w:p>
            <w:pPr>
              <w:pStyle w:val="Compact"/>
              <w:keepLines/>
              <w:widowControl/>
              <w:spacing w:before="0" w:after="40" w:line="240" w:lineRule="auto"/>
              <w:jc w:val="center"/>
            </w:pPr>
            <ns5:oMath>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oMath>
          </w:p>
        </w:tc>
        <w:tc>
          <w:tcPr>
            <w:tcW w:w="3143" w:type="dxa"/>
            <w:shd w:fill="FFFFFF"/>
            <w:vAlign w:val="top"/>
          </w:tcPr>
          <w:p>
            <w:pPr>
              <w:pStyle w:val="Compact"/>
              <w:keepLines/>
              <w:widowControl/>
              <w:spacing w:before="0" w:after="40" w:line="240" w:lineRule="auto"/>
              <w:jc w:val="center"/>
            </w:pPr>
            <w:r>
              <w:rPr>
                <w:sz w:val="20"/>
                <w:szCs w:val="20"/>
              </w:rPr>
              <w:t xml:space="preserve">Mit</w:t>
            </w:r>
            <w:r>
              <w:rPr>
                <w:sz w:val="20"/>
                <w:szCs w:val="20"/>
              </w:rPr>
              <w:t xml:space="preserve"> </w:t>
            </w:r>
            <ns5:oMath>
              <ns5:sSup>
                <ns5:e>
                  <ns5:r>
                    <ns5:t>b</ns5:t>
                  </ns5:r>
                </ns5:e>
                <ns5:sup>
                  <ns5:r>
                    <ns5:t>2</ns5:t>
                  </ns5:r>
                </ns5:sup>
              </ns5:sSup>
            </ns5:oMath>
            <w:r>
              <w:rPr>
                <w:sz w:val="20"/>
                <w:szCs w:val="20"/>
              </w:rPr>
              <w:t xml:space="preserve"> </w:t>
            </w:r>
            <w:r>
              <w:rPr>
                <w:sz w:val="20"/>
                <w:szCs w:val="20"/>
              </w:rPr>
              <w:t xml:space="preserve">skaliert; von</w:t>
            </w:r>
            <w:r>
              <w:rPr>
                <w:sz w:val="20"/>
                <w:szCs w:val="20"/>
              </w:rPr>
              <w:t xml:space="preserve"> </w:t>
            </w:r>
            <ns5:oMath>
              <ns5:r>
                <ns5:t>a</ns5:t>
              </ns5:r>
            </ns5:oMath>
            <w:r>
              <w:rPr>
                <w:sz w:val="20"/>
                <w:szCs w:val="20"/>
              </w:rPr>
              <w:t xml:space="preserve"> </w:t>
            </w:r>
            <w:r>
              <w:rPr>
                <w:sz w:val="20"/>
                <w:szCs w:val="20"/>
              </w:rPr>
              <w:t xml:space="preserve">unbeeinflusst</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Standardabweichung</w:t>
            </w:r>
          </w:p>
        </w:tc>
        <w:tc>
          <w:tcPr>
            <w:tcW w:w="3905" w:type="dxa"/>
            <w:shd w:fill="F3F7F9"/>
            <w:vAlign w:val="top"/>
          </w:tcPr>
          <w:p>
            <w:pPr>
              <w:pStyle w:val="Compact"/>
              <w:keepLines/>
              <w:widowControl/>
              <w:spacing w:before="0" w:after="40" w:line="240" w:lineRule="auto"/>
              <w:jc w:val="center"/>
            </w:pPr>
            <ns5:oMath>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oMath>
          </w:p>
        </w:tc>
        <w:tc>
          <w:tcPr>
            <w:tcW w:w="3143" w:type="dxa"/>
            <w:shd w:fill="F3F7F9"/>
            <w:vAlign w:val="top"/>
          </w:tcPr>
          <w:p>
            <w:pPr>
              <w:pStyle w:val="Compact"/>
              <w:keepLines/>
              <w:widowControl/>
              <w:spacing w:before="0" w:after="40" w:line="240" w:lineRule="auto"/>
              <w:jc w:val="center"/>
            </w:pPr>
            <w:r>
              <w:rPr>
                <w:sz w:val="20"/>
                <w:szCs w:val="20"/>
              </w:rPr>
              <w:t xml:space="preserve">Mit</w:t>
            </w:r>
            <w:r>
              <w:rPr>
                <w:sz w:val="20"/>
                <w:szCs w:val="20"/>
              </w:rPr>
              <w:t xml:space="preserve"> </w:t>
            </w:r>
            <ns5:oMath>
              <ns5:d>
                <ns5:dPr>
                  <ns5:begChr ns5:val="|"/>
                  <ns5:sepChr ns5:val=""/>
                  <ns5:endChr ns5:val="|"/>
                  <ns5:grow/>
                </ns5:dPr>
                <ns5:e>
                  <ns5:r>
                    <ns5:t>b</ns5:t>
                  </ns5:r>
                </ns5:e>
              </ns5:d>
            </ns5:oMath>
            <w:r>
              <w:rPr>
                <w:sz w:val="20"/>
                <w:szCs w:val="20"/>
              </w:rPr>
              <w:t xml:space="preserve"> </w:t>
            </w:r>
            <w:r>
              <w:rPr>
                <w:sz w:val="20"/>
                <w:szCs w:val="20"/>
              </w:rPr>
              <w:t xml:space="preserve">skaliert; von</w:t>
            </w:r>
            <w:r>
              <w:rPr>
                <w:sz w:val="20"/>
                <w:szCs w:val="20"/>
              </w:rPr>
              <w:t xml:space="preserve"> </w:t>
            </w:r>
            <ns5:oMath>
              <ns5:r>
                <ns5:t>a</ns5:t>
              </ns5:r>
            </ns5:oMath>
            <w:r>
              <w:rPr>
                <w:sz w:val="20"/>
                <w:szCs w:val="20"/>
              </w:rPr>
              <w:t xml:space="preserve"> </w:t>
            </w:r>
            <w:r>
              <w:rPr>
                <w:sz w:val="20"/>
                <w:szCs w:val="20"/>
              </w:rPr>
              <w:t xml:space="preserve">unbeeinflusst</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Rangfolge und Orientierung</w:t>
            </w:r>
          </w:p>
        </w:tc>
        <w:tc>
          <w:tcPr>
            <w:tcW w:w="3905" w:type="dxa"/>
            <w:shd w:fill="FFFFFF"/>
            <w:vAlign w:val="top"/>
          </w:tcPr>
          <w:p>
            <w:pPr>
              <w:pStyle w:val="Compact"/>
              <w:keepLines/>
              <w:widowControl/>
              <w:spacing w:before="0" w:after="40" w:line="240" w:lineRule="auto"/>
              <w:jc w:val="center"/>
            </w:pPr>
            <w:r>
              <w:rPr>
                <w:sz w:val="20"/>
                <w:szCs w:val="20"/>
              </w:rPr>
              <w:t xml:space="preserve">Bei</w:t>
            </w:r>
            <w:r>
              <w:rPr>
                <w:sz w:val="20"/>
                <w:szCs w:val="20"/>
              </w:rPr>
              <w:t xml:space="preserve"> </w:t>
            </w:r>
            <ns5:oMath>
              <ns5:r>
                <ns5:t>b</ns5:t>
              </ns5:r>
              <ns5:r>
                <ns5:rPr>
                  <ns5:sty ns5:val="p"/>
                </ns5:rPr>
                <ns5:t>&gt;</ns5:t>
              </ns5:r>
              <ns5:r>
                <ns5:t>0</ns5:t>
              </ns5:r>
            </ns5:oMath>
            <w:r>
              <w:rPr>
                <w:sz w:val="20"/>
                <w:szCs w:val="20"/>
              </w:rPr>
              <w:t xml:space="preserve"> </w:t>
            </w:r>
            <w:r>
              <w:rPr>
                <w:sz w:val="20"/>
                <w:szCs w:val="20"/>
              </w:rPr>
              <w:t xml:space="preserve">bewahrt</w:t>
            </w:r>
          </w:p>
        </w:tc>
        <w:tc>
          <w:tcPr>
            <w:tcW w:w="3143" w:type="dxa"/>
            <w:shd w:fill="FFFFFF"/>
            <w:vAlign w:val="top"/>
          </w:tcPr>
          <w:p>
            <w:pPr>
              <w:pStyle w:val="Compact"/>
              <w:keepLines/>
              <w:widowControl/>
              <w:spacing w:before="0" w:after="40" w:line="240" w:lineRule="auto"/>
              <w:jc w:val="center"/>
            </w:pPr>
            <w:r>
              <w:rPr>
                <w:sz w:val="20"/>
                <w:szCs w:val="20"/>
              </w:rPr>
              <w:t xml:space="preserve">Bei</w:t>
            </w:r>
            <w:r>
              <w:rPr>
                <w:sz w:val="20"/>
                <w:szCs w:val="20"/>
              </w:rPr>
              <w:t xml:space="preserve"> </w:t>
            </w:r>
            <ns5:oMath>
              <ns5:r>
                <ns5:t>b</ns5:t>
              </ns5:r>
              <ns5:r>
                <ns5:rPr>
                  <ns5:sty ns5:val="p"/>
                </ns5:rPr>
                <ns5:t>&lt;</ns5:t>
              </ns5:r>
              <ns5:r>
                <ns5:t>0</ns5:t>
              </ns5:r>
            </ns5:oMath>
            <w:r>
              <w:rPr>
                <w:sz w:val="20"/>
                <w:szCs w:val="20"/>
              </w:rPr>
              <w:t xml:space="preserve"> </w:t>
            </w:r>
            <w:r>
              <w:rPr>
                <w:sz w:val="20"/>
                <w:szCs w:val="20"/>
              </w:rPr>
              <w:t xml:space="preserve">umgekehrt</w:t>
            </w:r>
          </w:p>
        </w:tc>
      </w:tr>
    </w:tbl>
    <w:bookmarkEnd w:id="33"/>
    <w:p/>
    <w:p>
      <w:pPr>
        <w:pStyle w:val="BodyText"/>
      </w:pPr>
      <w:r>
        <w:t xml:space="preserve">Der transformierte Mittelwert folgt</w:t>
      </w:r>
      <w:r>
        <w:t xml:space="preserve"> </w:t>
      </w: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r>
        <w:t xml:space="preserve">. Die Verschiebung</w:t>
      </w:r>
      <w:r>
        <w:t xml:space="preserve"> </w:t>
      </w:r>
      <ns5:oMath>
        <ns5:r>
          <ns5:t>a</ns5:t>
        </ns5:r>
      </ns5:oMath>
      <w:r>
        <w:t xml:space="preserve"> </w:t>
      </w:r>
      <w:r>
        <w:t xml:space="preserve">verändert den Mittelwert, aber nicht die Variabilität, während</w:t>
      </w:r>
      <w:r>
        <w:t xml:space="preserve"> </w:t>
      </w:r>
      <ns5:oMath>
        <ns5:d>
          <ns5:dPr>
            <ns5:begChr ns5:val="|"/>
            <ns5:sepChr ns5:val=""/>
            <ns5:endChr ns5:val="|"/>
            <ns5:grow/>
          </ns5:dPr>
          <ns5:e>
            <ns5:r>
              <ns5:t>b</ns5:t>
            </ns5:r>
          </ns5:e>
        </ns5:d>
      </ns5:oMath>
      <w:r>
        <w:t xml:space="preserve"> </w:t>
      </w:r>
      <w:r>
        <w:t xml:space="preserve">die Abstände und die Standardabweichung skaliert. Ein negatives</w:t>
      </w:r>
      <w:r>
        <w:t xml:space="preserve"> </w:t>
      </w:r>
      <ns5:oMath>
        <ns5:r>
          <ns5:t>b</ns5:t>
        </ns5:r>
      </ns5:oMath>
      <w:r>
        <w:t xml:space="preserve"> </w:t>
      </w:r>
      <w:r>
        <w:t xml:space="preserve">spiegelt zudem die Verteilung und kehrt die Rangfolge um.</w:t>
      </w:r>
    </w:p>
    <w:p>
      <w:pPr>
        <w:pBdr>
          <w:bottom w:val="single" w:sz="4" w:space="6" w:color="B8C6CF"/>
        </w:pBdr>
        <w:spacing w:before="60" w:after="100"/>
      </w:pPr>
    </w:p>
    <w:bookmarkEnd w:id="34"/>
    <w:bookmarkStart w:id="35" w:name="z-transformation"/>
    <w:p>
      <w:pPr>
        <w:pStyle w:val="Heading2"/>
      </w:pPr>
      <w:r>
        <w:t xml:space="preserve">z-Transformation</w:t>
      </w:r>
    </w:p>
    <w:p>
      <w:pPr>
        <w:pStyle w:val="FirstParagraph"/>
      </w:pPr>
      <w:r>
        <w:t xml:space="preserve">Für eine nicht konstante Stichprobe mit einem definierten, von null verschiedenen</w:t>
      </w:r>
      <w:r>
        <w:t xml:space="preserve"> </w:t>
      </w:r>
      <ns5:oMath>
        <ns5:r>
          <ns5:t>s</ns5:t>
        </ns5:r>
      </ns5:oMath>
      <w:r>
        <w:t xml:space="preserve"> </w:t>
      </w:r>
      <w:r>
        <w:t xml:space="preserve">erzeugt die z-Transformation</w:t>
      </w:r>
      <w:r>
        <w:t xml:space="preserve"> </w:t>
      </w:r>
      <ns5:oMath>
        <ns5:sSub>
          <ns5:e>
            <ns5:r>
              <ns5:t>z</ns5:t>
            </ns5:r>
          </ns5:e>
          <ns5:sub>
            <ns5:r>
              <ns5:t>i</ns5:t>
            </ns5:r>
          </ns5:sub>
        </ns5:sSub>
        <ns5:r>
          <ns5:rPr>
            <ns5:sty ns5:val="p"/>
          </ns5:rPr>
          <ns5:t>=</ns5:t>
        </ns5:r>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r>
          <ns5:rPr>
            <ns5:sty ns5:val="p"/>
          </ns5:rPr>
          <ns5:t>/</ns5:t>
        </ns5:r>
        <ns5:r>
          <ns5:t>s</ns5:t>
        </ns5:r>
      </ns5:oMath>
      <w:r>
        <w:t xml:space="preserve"> </w:t>
      </w:r>
      <w:r>
        <w:t xml:space="preserve">einen Stichprobenmittelwert von 0 und eine Stichprobenstandardabweichung von 1.</w:t>
      </w:r>
    </w:p>
    <w:p>
      <w:pPr>
        <w:pStyle w:val="BodyText"/>
      </w:pPr>
      <w:r>
        <w:t xml:space="preserve">Ein z-Wert gibt an, wie viele Standardabweichungen eine Beobachtung über oder unter dem Mittelwert der gewählten Referenzverteilung liegt. Vergleiche zwischen unterschiedlichen Skalen sind nur sinnvoll, wenn dieselbe inhaltliche Eigenschaft erfasst wird, die Messqualität vergleichbar ist und geeignete Referenzgruppen verwendet werden.</w:t>
      </w:r>
    </w:p>
    <w:p>
      <w:pPr>
        <w:pBdr>
          <w:bottom w:val="single" w:sz="4" w:space="6" w:color="B8C6CF"/>
        </w:pBdr>
        <w:spacing w:before="60" w:after="100"/>
      </w:pPr>
    </w:p>
    <w:bookmarkEnd w:id="35"/>
    <w:bookmarkStart w:id="37" w:name="diagrammwahl-nach-skalenniveau"/>
    <w:p>
      <w:pPr>
        <w:pStyle w:val="Heading2"/>
      </w:pPr>
      <w:r>
        <w:t xml:space="preserve">Diagrammwahl nach Skalenniveau</w:t>
      </w:r>
    </w:p>
    <w:bookmarkStart w:id="36" w:name="tbl-summary-diagrams"/>
    <w:p>
      <w:pPr>
        <w:pStyle w:val="TableCaption"/>
        <w:keepNext/>
        <w:keepLines/>
        <w:widowControl/>
        <w:spacing w:before="120" w:after="80"/>
        <w:jc w:val="left"/>
      </w:pPr>
      <w:r>
        <w:t xml:space="preserve">Tabelle 7: Diagrammwahl nach Skalenniveau.</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Skalenniveau</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Geeignetes Diagramm</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Nominal</w:t>
            </w:r>
          </w:p>
        </w:tc>
        <w:tc>
          <w:tcPr>
            <w:tcW w:w="5619" w:type="dxa"/>
            <w:shd w:fill="F3F7F9"/>
            <w:vAlign w:val="top"/>
          </w:tcPr>
          <w:p>
            <w:pPr>
              <w:pStyle w:val="Compact"/>
              <w:keepLines/>
              <w:widowControl/>
              <w:spacing w:before="0" w:after="40" w:line="240" w:lineRule="auto"/>
              <w:jc w:val="center"/>
            </w:pPr>
            <w:r>
              <w:rPr>
                <w:sz w:val="20"/>
                <w:szCs w:val="20"/>
              </w:rPr>
              <w:t xml:space="preserve">Säulendiagramm, Kreisdiagramm</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Ordinal</w:t>
            </w:r>
          </w:p>
        </w:tc>
        <w:tc>
          <w:tcPr>
            <w:tcW w:w="5619" w:type="dxa"/>
            <w:shd w:fill="FFFFFF"/>
            <w:vAlign w:val="top"/>
          </w:tcPr>
          <w:p>
            <w:pPr>
              <w:pStyle w:val="Compact"/>
              <w:keepLines/>
              <w:widowControl/>
              <w:spacing w:before="0" w:after="40" w:line="240" w:lineRule="auto"/>
              <w:jc w:val="center"/>
            </w:pPr>
            <w:r>
              <w:rPr>
                <w:sz w:val="20"/>
                <w:szCs w:val="20"/>
              </w:rPr>
              <w:t xml:space="preserve">Geordnetes Säulendiagramm</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Metrisch (Intervall, Verhältnis, Absolut)</w:t>
            </w:r>
          </w:p>
        </w:tc>
        <w:tc>
          <w:tcPr>
            <w:tcW w:w="5619" w:type="dxa"/>
            <w:shd w:fill="F3F7F9"/>
            <w:vAlign w:val="top"/>
          </w:tcPr>
          <w:p>
            <w:pPr>
              <w:pStyle w:val="Compact"/>
              <w:keepLines/>
              <w:widowControl/>
              <w:spacing w:before="0" w:after="40" w:line="240" w:lineRule="auto"/>
              <w:jc w:val="center"/>
            </w:pPr>
            <w:r>
              <w:rPr>
                <w:sz w:val="20"/>
                <w:szCs w:val="20"/>
              </w:rPr>
              <w:t xml:space="preserve">Histogramm, Boxplot</w:t>
            </w:r>
          </w:p>
        </w:tc>
      </w:tr>
    </w:tbl>
    <w:bookmarkEnd w:id="36"/>
    <w:p/>
    <w:p>
      <w:pPr>
        <w:pStyle w:val="BodyText"/>
      </w:pPr>
      <w:r>
        <w:t xml:space="preserve">In Histogrammen ist die</w:t>
      </w:r>
      <w:r>
        <w:t xml:space="preserve"> </w:t>
      </w:r>
      <w:r>
        <w:rPr>
          <w:b/>
          <w:bCs/>
        </w:rPr>
        <w:t xml:space="preserve">Fläche proportional zur Häufigkeit</w:t>
      </w:r>
      <w:r>
        <w:t xml:space="preserve">. Bei gleichen Klassenbreiten bilden Höhe und Fläche die Häufigkeit korrekt ab. Bei ungleichen Breiten beträgt die Dichtehöhe</w:t>
      </w:r>
      <w:r>
        <w:t xml:space="preserve"> </w:t>
      </w:r>
      <ns5:oMath>
        <ns5:sSub>
          <ns5:e>
            <ns5:r>
              <ns5:t>f</ns5:t>
            </ns5:r>
          </ns5:e>
          <ns5:sub>
            <ns5:r>
              <ns5:t>j</ns5:t>
            </ns5:r>
          </ns5:sub>
        </ns5:sSub>
        <ns5:r>
          <ns5:rPr>
            <ns5:sty ns5:val="p"/>
          </ns5:rPr>
          <ns5:t>/</ns5:t>
        </ns5:r>
        <ns5:sSub>
          <ns5:e>
            <ns5:r>
              <ns5:t>w</ns5:t>
            </ns5:r>
          </ns5:e>
          <ns5:sub>
            <ns5:r>
              <ns5:t>j</ns5:t>
            </ns5:r>
          </ns5:sub>
        </ns5:sSub>
      </ns5:oMath>
      <w:r>
        <w:t xml:space="preserve">. Vergleiche sinnvolle Klassenbreiten, weil sich die sichtbare Form mit der Gruppierung ändern kann.</w:t>
      </w:r>
    </w:p>
    <w:p>
      <w:pPr>
        <w:pBdr>
          <w:bottom w:val="single" w:sz="4" w:space="6" w:color="B8C6CF"/>
        </w:pBdr>
        <w:spacing w:before="60" w:after="100"/>
      </w:pPr>
    </w:p>
    <w:bookmarkEnd w:id="37"/>
    <w:bookmarkStart w:id="39" w:name="verteilungsformen"/>
    <w:p>
      <w:pPr>
        <w:pStyle w:val="Heading2"/>
      </w:pPr>
      <w:r>
        <w:t xml:space="preserve">Verteilungsformen</w:t>
      </w:r>
    </w:p>
    <w:bookmarkStart w:id="38" w:name="tbl-summary-distribution-shapes"/>
    <w:p>
      <w:pPr>
        <w:pStyle w:val="TableCaption"/>
        <w:keepNext/>
        <w:keepLines/>
        <w:widowControl/>
        <w:spacing w:before="120" w:after="80"/>
        <w:jc w:val="left"/>
      </w:pPr>
      <w:r>
        <w:t xml:space="preserve">Tabelle 8: Unabhängige Dimensionen zur Beschreibung der Verteilungsform.</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143"/>
        <w:gridCol w:w="3905"/>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Form</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Zentrales Merkmal</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Hinweis für die Interpretation</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Symmetrisch</w:t>
            </w:r>
          </w:p>
        </w:tc>
        <w:tc>
          <w:tcPr>
            <w:tcW w:w="3143" w:type="dxa"/>
            <w:shd w:fill="F3F7F9"/>
            <w:vAlign w:val="top"/>
          </w:tcPr>
          <w:p>
            <w:pPr>
              <w:pStyle w:val="Compact"/>
              <w:keepLines/>
              <w:widowControl/>
              <w:spacing w:before="0" w:after="40" w:line="240" w:lineRule="auto"/>
              <w:jc w:val="center"/>
            </w:pPr>
            <w:r>
              <w:rPr>
                <w:sz w:val="20"/>
                <w:szCs w:val="20"/>
              </w:rPr>
              <w:t xml:space="preserve">Gleichartige Randbereiche auf beiden Seiten</w:t>
            </w:r>
          </w:p>
        </w:tc>
        <w:tc>
          <w:tcPr>
            <w:tcW w:w="3905" w:type="dxa"/>
            <w:shd w:fill="F3F7F9"/>
            <w:vAlign w:val="top"/>
          </w:tcPr>
          <w:p>
            <w:pPr>
              <w:pStyle w:val="Compact"/>
              <w:keepLines/>
              <w:widowControl/>
              <w:spacing w:before="0" w:after="40" w:line="240" w:lineRule="auto"/>
              <w:jc w:val="center"/>
            </w:pPr>
            <w:r>
              <w:rPr>
                <w:sz w:val="20"/>
                <w:szCs w:val="20"/>
              </w:rPr>
              <w:t xml:space="preserve">Mittelwert und Median liegen nahe beieinander</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Rechtsschief</w:t>
            </w:r>
          </w:p>
        </w:tc>
        <w:tc>
          <w:tcPr>
            <w:tcW w:w="3143" w:type="dxa"/>
            <w:shd w:fill="FFFFFF"/>
            <w:vAlign w:val="top"/>
          </w:tcPr>
          <w:p>
            <w:pPr>
              <w:pStyle w:val="Compact"/>
              <w:keepLines/>
              <w:widowControl/>
              <w:spacing w:before="0" w:after="40" w:line="240" w:lineRule="auto"/>
              <w:jc w:val="center"/>
            </w:pPr>
            <w:r>
              <w:rPr>
                <w:sz w:val="20"/>
                <w:szCs w:val="20"/>
              </w:rPr>
              <w:t xml:space="preserve">Langer Randbereich zu hohen Werten</w:t>
            </w:r>
          </w:p>
        </w:tc>
        <w:tc>
          <w:tcPr>
            <w:tcW w:w="3905" w:type="dxa"/>
            <w:shd w:fill="FFFFFF"/>
            <w:vAlign w:val="top"/>
          </w:tcPr>
          <w:p>
            <w:pPr>
              <w:pStyle w:val="Compact"/>
              <w:keepLines/>
              <w:widowControl/>
              <w:spacing w:before="0" w:after="40" w:line="240" w:lineRule="auto"/>
              <w:jc w:val="center"/>
            </w:pPr>
            <w:r>
              <w:rPr>
                <w:sz w:val="20"/>
                <w:szCs w:val="20"/>
              </w:rPr>
              <w:t xml:space="preserve">Mittelwert liegt häufig über dem Median; visuell prüfen</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Linksschief</w:t>
            </w:r>
          </w:p>
        </w:tc>
        <w:tc>
          <w:tcPr>
            <w:tcW w:w="3143" w:type="dxa"/>
            <w:shd w:fill="F3F7F9"/>
            <w:vAlign w:val="top"/>
          </w:tcPr>
          <w:p>
            <w:pPr>
              <w:pStyle w:val="Compact"/>
              <w:keepLines/>
              <w:widowControl/>
              <w:spacing w:before="0" w:after="40" w:line="240" w:lineRule="auto"/>
              <w:jc w:val="center"/>
            </w:pPr>
            <w:r>
              <w:rPr>
                <w:sz w:val="20"/>
                <w:szCs w:val="20"/>
              </w:rPr>
              <w:t xml:space="preserve">Langer Randbereich zu niedrigen Werten</w:t>
            </w:r>
          </w:p>
        </w:tc>
        <w:tc>
          <w:tcPr>
            <w:tcW w:w="3905" w:type="dxa"/>
            <w:shd w:fill="F3F7F9"/>
            <w:vAlign w:val="top"/>
          </w:tcPr>
          <w:p>
            <w:pPr>
              <w:pStyle w:val="Compact"/>
              <w:keepLines/>
              <w:widowControl/>
              <w:spacing w:before="0" w:after="40" w:line="240" w:lineRule="auto"/>
              <w:jc w:val="center"/>
            </w:pPr>
            <w:r>
              <w:rPr>
                <w:sz w:val="20"/>
                <w:szCs w:val="20"/>
              </w:rPr>
              <w:t xml:space="preserve">Mittelwert liegt häufig unter dem Median; visuell prüfen</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Unimodal</w:t>
            </w:r>
          </w:p>
        </w:tc>
        <w:tc>
          <w:tcPr>
            <w:tcW w:w="3143" w:type="dxa"/>
            <w:shd w:fill="FFFFFF"/>
            <w:vAlign w:val="top"/>
          </w:tcPr>
          <w:p>
            <w:pPr>
              <w:pStyle w:val="Compact"/>
              <w:keepLines/>
              <w:widowControl/>
              <w:spacing w:before="0" w:after="40" w:line="240" w:lineRule="auto"/>
              <w:jc w:val="center"/>
            </w:pPr>
            <w:r>
              <w:rPr>
                <w:sz w:val="20"/>
                <w:szCs w:val="20"/>
              </w:rPr>
              <w:t xml:space="preserve">Ein Gipfel</w:t>
            </w:r>
          </w:p>
        </w:tc>
        <w:tc>
          <w:tcPr>
            <w:tcW w:w="3905" w:type="dxa"/>
            <w:shd w:fill="FFFFFF"/>
            <w:vAlign w:val="top"/>
          </w:tcPr>
          <w:p>
            <w:pPr>
              <w:pStyle w:val="Compact"/>
              <w:keepLines/>
              <w:widowControl/>
              <w:spacing w:before="0" w:after="40" w:line="240" w:lineRule="auto"/>
              <w:jc w:val="center"/>
            </w:pPr>
            <w:r>
              <w:rPr>
                <w:sz w:val="20"/>
                <w:szCs w:val="20"/>
              </w:rPr>
              <w:t xml:space="preserve">Eine Hauptkonzentration, entsprechend ihrer Form zusammengefasst</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Bimodal</w:t>
            </w:r>
          </w:p>
        </w:tc>
        <w:tc>
          <w:tcPr>
            <w:tcW w:w="3143" w:type="dxa"/>
            <w:shd w:fill="F3F7F9"/>
            <w:vAlign w:val="top"/>
          </w:tcPr>
          <w:p>
            <w:pPr>
              <w:pStyle w:val="Compact"/>
              <w:keepLines/>
              <w:widowControl/>
              <w:spacing w:before="0" w:after="40" w:line="240" w:lineRule="auto"/>
              <w:jc w:val="center"/>
            </w:pPr>
            <w:r>
              <w:rPr>
                <w:sz w:val="20"/>
                <w:szCs w:val="20"/>
              </w:rPr>
              <w:t xml:space="preserve">Zwei Gipfel</w:t>
            </w:r>
          </w:p>
        </w:tc>
        <w:tc>
          <w:tcPr>
            <w:tcW w:w="3905" w:type="dxa"/>
            <w:shd w:fill="F3F7F9"/>
            <w:vAlign w:val="top"/>
          </w:tcPr>
          <w:p>
            <w:pPr>
              <w:pStyle w:val="Compact"/>
              <w:keepLines/>
              <w:widowControl/>
              <w:spacing w:before="0" w:after="40" w:line="240" w:lineRule="auto"/>
              <w:jc w:val="center"/>
            </w:pPr>
            <w:r>
              <w:rPr>
                <w:sz w:val="20"/>
                <w:szCs w:val="20"/>
              </w:rPr>
              <w:t xml:space="preserve">Beide Gipfel zeigen und untersuchen; Teilgruppen nicht voraussetzen</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Hohe Kurtosis</w:t>
            </w:r>
          </w:p>
        </w:tc>
        <w:tc>
          <w:tcPr>
            <w:tcW w:w="3143" w:type="dxa"/>
            <w:shd w:fill="FFFFFF"/>
            <w:vAlign w:val="top"/>
          </w:tcPr>
          <w:p>
            <w:pPr>
              <w:pStyle w:val="Compact"/>
              <w:keepLines/>
              <w:widowControl/>
              <w:spacing w:before="0" w:after="40" w:line="240" w:lineRule="auto"/>
              <w:jc w:val="center"/>
            </w:pPr>
            <w:r>
              <w:rPr>
                <w:sz w:val="20"/>
                <w:szCs w:val="20"/>
              </w:rPr>
              <w:t xml:space="preserve">Stärkere Gewichtung extremer Abweichungen</w:t>
            </w:r>
          </w:p>
        </w:tc>
        <w:tc>
          <w:tcPr>
            <w:tcW w:w="3905" w:type="dxa"/>
            <w:shd w:fill="FFFFFF"/>
            <w:vAlign w:val="top"/>
          </w:tcPr>
          <w:p>
            <w:pPr>
              <w:pStyle w:val="Compact"/>
              <w:keepLines/>
              <w:widowControl/>
              <w:spacing w:before="0" w:after="40" w:line="240" w:lineRule="auto"/>
              <w:jc w:val="center"/>
            </w:pPr>
            <w:r>
              <w:rPr>
                <w:sz w:val="20"/>
                <w:szCs w:val="20"/>
              </w:rPr>
              <w:t xml:space="preserve">Grössere Neigung zu weit entfernten Beobachtungen</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Niedrige Kurtosis</w:t>
            </w:r>
          </w:p>
        </w:tc>
        <w:tc>
          <w:tcPr>
            <w:tcW w:w="3143" w:type="dxa"/>
            <w:shd w:fill="F3F7F9"/>
            <w:vAlign w:val="top"/>
          </w:tcPr>
          <w:p>
            <w:pPr>
              <w:pStyle w:val="Compact"/>
              <w:keepLines/>
              <w:widowControl/>
              <w:spacing w:before="0" w:after="40" w:line="240" w:lineRule="auto"/>
              <w:jc w:val="center"/>
            </w:pPr>
            <w:r>
              <w:rPr>
                <w:sz w:val="20"/>
                <w:szCs w:val="20"/>
              </w:rPr>
              <w:t xml:space="preserve">Schwächere Gewichtung extremer Abweichungen</w:t>
            </w:r>
          </w:p>
        </w:tc>
        <w:tc>
          <w:tcPr>
            <w:tcW w:w="3905" w:type="dxa"/>
            <w:shd w:fill="F3F7F9"/>
            <w:vAlign w:val="top"/>
          </w:tcPr>
          <w:p>
            <w:pPr>
              <w:pStyle w:val="Compact"/>
              <w:keepLines/>
              <w:widowControl/>
              <w:spacing w:before="0" w:after="40" w:line="240" w:lineRule="auto"/>
              <w:jc w:val="center"/>
            </w:pPr>
            <w:r>
              <w:rPr>
                <w:sz w:val="20"/>
                <w:szCs w:val="20"/>
              </w:rPr>
              <w:t xml:space="preserve">Geringere Neigung zu weit entfernten Beobachtungen</w:t>
            </w:r>
          </w:p>
        </w:tc>
      </w:tr>
    </w:tbl>
    <w:bookmarkEnd w:id="38"/>
    <w:p/>
    <w:p>
      <w:pPr>
        <w:pStyle w:val="BodyText"/>
      </w:pPr>
      <w:r>
        <w:t xml:space="preserve">Symmetrie, Modalität und Kurtosis können in unterschiedlichen Kombinationen gemeinsam auftreten. Die Gipfelhöhe allein definiert Kurtosis nicht.</w:t>
      </w:r>
    </w:p>
    <w:p>
      <w:pPr>
        <w:pBdr>
          <w:bottom w:val="single" w:sz="4" w:space="6" w:color="B8C6CF"/>
        </w:pBdr>
        <w:spacing w:before="60" w:after="100"/>
      </w:pPr>
    </w:p>
    <w:bookmarkEnd w:id="39"/>
    <w:bookmarkStart w:id="40" w:name="irreführende-grafiken"/>
    <w:p>
      <w:pPr>
        <w:pStyle w:val="Heading2"/>
      </w:pPr>
      <w:r>
        <w:t xml:space="preserve">Irreführende Grafiken</w:t>
      </w:r>
    </w:p>
    <w:p>
      <w:pPr>
        <w:pStyle w:val="FirstParagraph"/>
      </w:pPr>
      <w:r>
        <w:t xml:space="preserve">Grafiken können durch abgeschnittene Achsen, gestauchte oder gestreckte Skalen und ungeeignete Histogrammklassen irreführende Eindrücke erzeugen. Prozentwerte können irreführen, wenn Bezugsgrösse, Stichprobengrösse, Messmethode oder fehlende Daten verschwiegen werden. Grafiken und Zahlen benötigen Kontext und eine gültige Messung.</w:t>
      </w:r>
    </w:p>
    <w:p>
      <w:pPr>
        <w:pBdr>
          <w:bottom w:val="single" w:sz="4" w:space="6" w:color="B8C6CF"/>
        </w:pBdr>
        <w:spacing w:before="60" w:after="100"/>
      </w:pPr>
    </w:p>
    <w:bookmarkEnd w:id="40"/>
    <w:bookmarkStart w:id="41" w:name="das-solltest-du-jetzt-können"/>
    <w:p>
      <w:pPr>
        <w:pStyle w:val="Heading2"/>
      </w:pPr>
      <w:r>
        <w:t xml:space="preserve">Das solltest du jetzt können</w:t>
      </w:r>
    </w:p>
    <w:p>
      <w:pPr>
        <w:pStyle w:val="FirstParagraph"/>
      </w:pPr>
      <w:r>
        <w:t xml:space="preserve">Du solltest jetzt Fälle, Variablen, Werte und Skalenniveaus bestimmen, die Notation für Mittelwerte, Varianzen und z-Werte lesen, Häufigkeitsdarstellungen erstellen und interpretieren, passende Lage- und Streuungsmasse wählen, Verteilungen mit Tabellen und Grafiken vergleichen, die Wirkung linearer Transformationen vorhersagen, Beobachtungen standardisieren und Darstellungsentscheidungen erkennen können, die eine statistische Botschaft verzerren. Zudem solltest du die Grenzen einer deskriptiven Schlussfolgerung benennen können, ohne aus einem beobachteten Muster eine Aussage über die Grundgesamtheit oder einen Kausalschluss zu machen.</w:t>
      </w:r>
    </w:p>
    <w:bookmarkEnd w:id="41"/>
    <w:bookmarkEnd w:id="42"/>
    <w:bookmarkStart w:id="53" w:name="erweiterte-referenz"/>
    <w:p>
      <w:pPr>
        <w:pStyle w:val="Heading1"/>
        <w:pageBreakBefore/>
      </w:pPr>
      <w:r>
        <w:t xml:space="preserve">Erweiterte Referenz</w:t>
      </w:r>
    </w:p>
    <w:bookmarkStart w:id="43" w:name="zweck-und-grundlagen"/>
    <w:p>
      <w:pPr>
        <w:pStyle w:val="Heading2"/>
      </w:pPr>
      <w:r>
        <w:t xml:space="preserve">Zweck und Grundlagen</w:t>
      </w:r>
    </w:p>
    <w:p>
      <w:pPr>
        <w:pStyle w:val="FirstParagraph"/>
      </w:pPr>
      <w:r>
        <w:t xml:space="preserve">Die deskriptive Statistik bietet dir ein geordnetes Vorgehen, um aus einer Sammlung von Beobachtungen eine verständliche Beschreibung zu entwickeln. Bestimme zuerst die</w:t>
      </w:r>
      <w:r>
        <w:t xml:space="preserve"> </w:t>
      </w:r>
      <w:r>
        <w:rPr>
          <w:b/>
          <w:bCs/>
        </w:rPr>
        <w:t xml:space="preserve">Fälle</w:t>
      </w:r>
      <w:r>
        <w:t xml:space="preserve">, also die Personen oder Untersuchungseinheiten in den Zeilen eines Datensatzes, und die</w:t>
      </w:r>
      <w:r>
        <w:t xml:space="preserve"> </w:t>
      </w:r>
      <w:r>
        <w:rPr>
          <w:b/>
          <w:bCs/>
        </w:rPr>
        <w:t xml:space="preserve">Variablen</w:t>
      </w:r>
      <w:r>
        <w:t xml:space="preserve">, also die in den Spalten erfassten Merkmale. Ein Wert ist ein aufgezeichnetes Ergebnis für eine Variable bei einem Fall. Frage vor jeder Berechnung, was die Variable bedeutet, wie sie gemessen wurde und welche Werte möglich sind. So verhinderst du, dass eine mathematisch korrekte Berechnung zu einer irreführenden Beschreibung wird.</w:t>
      </w:r>
    </w:p>
    <w:p>
      <w:pPr>
        <w:pStyle w:val="BodyText"/>
      </w:pPr>
      <w:r>
        <w:t xml:space="preserve">Das Skalenniveau bestimmt, welche Auswertungen für eine Variable sinnvoll sind. Eine nominale Variable ordnet Fälle Kategorien zu, ohne diese zu reihen. Eine ordinale Variable besitzt geordnete Kategorien, doch die Abstände zwischen benachbarten Kategorien sind nicht als gleich bekannt. Eine Intervallvariable besitzt bedeutungsvolle gleiche Abstände, aber keinen inhaltlich bedeutsamen absoluten Nullpunkt. Eine Verhältnisvariable besitzt gleiche Abstände und einen bedeutsamen Nullpunkt, sodass auch Verhältnisse interpretiert werden können. Das Skalenniveau ist eine Eigenschaft der Definition und Messung einer Variablen. Es hängt nicht davon ab, wie ihre Werte in einem einzelnen Datensatz aussehen.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286"/>
        <w:gridCol w:w="3619"/>
        <w:gridCol w:w="3619"/>
      </w:tblGrid>
      <w:tr>
        <w:trPr>
          <w:cantSplit/>
          <w:tblHeader w:val="on"/>
        </w:trPr>
        <w:tc>
          <w:tcPr>
            <w:tcW w:w="2286" w:type="dxa"/>
            <w:shd w:fill="EAF2F6"/>
            <w:vAlign w:val="center"/>
          </w:tcPr>
          <w:p>
            <w:pPr>
              <w:pStyle w:val="Compact"/>
              <w:keepLines/>
              <w:widowControl/>
              <w:spacing w:before="0" w:after="40" w:line="240" w:lineRule="auto"/>
              <w:jc w:val="left"/>
            </w:pPr>
            <w:r>
              <w:rPr>
                <w:b/>
                <w:color w:val="183B56"/>
                <w:sz w:val="20"/>
                <w:szCs w:val="20"/>
              </w:rPr>
              <w:t xml:space="preserve">Skalenniveau</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Was die Werte aussagen</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Geeignete erste Kennwerte</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Nominal</w:t>
            </w:r>
          </w:p>
        </w:tc>
        <w:tc>
          <w:tcPr>
            <w:tcW w:w="3619" w:type="dxa"/>
            <w:shd w:fill="F3F7F9"/>
            <w:vAlign w:val="top"/>
          </w:tcPr>
          <w:p>
            <w:pPr>
              <w:pStyle w:val="Compact"/>
              <w:keepLines/>
              <w:widowControl/>
              <w:spacing w:before="0" w:after="40" w:line="240" w:lineRule="auto"/>
              <w:jc w:val="left"/>
            </w:pPr>
            <w:r>
              <w:rPr>
                <w:sz w:val="20"/>
                <w:szCs w:val="20"/>
              </w:rPr>
              <w:t xml:space="preserve">Ob Fälle derselben oder verschiedenen Kategorien angehören</w:t>
            </w:r>
          </w:p>
        </w:tc>
        <w:tc>
          <w:tcPr>
            <w:tcW w:w="3619" w:type="dxa"/>
            <w:shd w:fill="F3F7F9"/>
            <w:vAlign w:val="top"/>
          </w:tcPr>
          <w:p>
            <w:pPr>
              <w:pStyle w:val="Compact"/>
              <w:keepLines/>
              <w:widowControl/>
              <w:spacing w:before="0" w:after="40" w:line="240" w:lineRule="auto"/>
              <w:jc w:val="left"/>
            </w:pPr>
            <w:r>
              <w:rPr>
                <w:sz w:val="20"/>
                <w:szCs w:val="20"/>
              </w:rPr>
              <w:t xml:space="preserve">Häufigkeiten, Anteile, Modus</w:t>
            </w:r>
          </w:p>
        </w:tc>
      </w:tr>
      <w:tr>
        <w:trPr>
          <w:cantSplit/>
        </w:trPr>
        <w:tc>
          <w:tcPr>
            <w:tcW w:w="2286" w:type="dxa"/>
            <w:shd w:fill="FFFFFF"/>
            <w:vAlign w:val="top"/>
          </w:tcPr>
          <w:p>
            <w:pPr>
              <w:pStyle w:val="Compact"/>
              <w:keepLines/>
              <w:widowControl/>
              <w:spacing w:before="0" w:after="40" w:line="240" w:lineRule="auto"/>
              <w:jc w:val="left"/>
            </w:pPr>
            <w:r>
              <w:rPr>
                <w:sz w:val="20"/>
                <w:szCs w:val="20"/>
              </w:rPr>
              <w:t xml:space="preserve">Ordinal</w:t>
            </w:r>
          </w:p>
        </w:tc>
        <w:tc>
          <w:tcPr>
            <w:tcW w:w="3619" w:type="dxa"/>
            <w:shd w:fill="FFFFFF"/>
            <w:vAlign w:val="top"/>
          </w:tcPr>
          <w:p>
            <w:pPr>
              <w:pStyle w:val="Compact"/>
              <w:keepLines/>
              <w:widowControl/>
              <w:spacing w:before="0" w:after="40" w:line="240" w:lineRule="auto"/>
              <w:jc w:val="left"/>
            </w:pPr>
            <w:r>
              <w:rPr>
                <w:sz w:val="20"/>
                <w:szCs w:val="20"/>
              </w:rPr>
              <w:t xml:space="preserve">Kategorienzugehörigkeit und Reihenfolge</w:t>
            </w:r>
          </w:p>
        </w:tc>
        <w:tc>
          <w:tcPr>
            <w:tcW w:w="3619" w:type="dxa"/>
            <w:shd w:fill="FFFFFF"/>
            <w:vAlign w:val="top"/>
          </w:tcPr>
          <w:p>
            <w:pPr>
              <w:pStyle w:val="Compact"/>
              <w:keepLines/>
              <w:widowControl/>
              <w:spacing w:before="0" w:after="40" w:line="240" w:lineRule="auto"/>
              <w:jc w:val="left"/>
            </w:pPr>
            <w:r>
              <w:rPr>
                <w:sz w:val="20"/>
                <w:szCs w:val="20"/>
              </w:rPr>
              <w:t xml:space="preserve">Häufigkeiten, Anteile, Median, Quantile</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Intervall/Verhältnis</w:t>
            </w:r>
          </w:p>
        </w:tc>
        <w:tc>
          <w:tcPr>
            <w:tcW w:w="3619" w:type="dxa"/>
            <w:shd w:fill="F3F7F9"/>
            <w:vAlign w:val="top"/>
          </w:tcPr>
          <w:p>
            <w:pPr>
              <w:pStyle w:val="Compact"/>
              <w:keepLines/>
              <w:widowControl/>
              <w:spacing w:before="0" w:after="40" w:line="240" w:lineRule="auto"/>
              <w:jc w:val="left"/>
            </w:pPr>
            <w:r>
              <w:rPr>
                <w:sz w:val="20"/>
                <w:szCs w:val="20"/>
              </w:rPr>
              <w:t xml:space="preserve">Reihenfolge und bedeutungsvoller numerischer Abstand</w:t>
            </w:r>
          </w:p>
        </w:tc>
        <w:tc>
          <w:tcPr>
            <w:tcW w:w="3619" w:type="dxa"/>
            <w:shd w:fill="F3F7F9"/>
            <w:vAlign w:val="top"/>
          </w:tcPr>
          <w:p>
            <w:pPr>
              <w:pStyle w:val="Compact"/>
              <w:keepLines/>
              <w:widowControl/>
              <w:spacing w:before="0" w:after="40" w:line="240" w:lineRule="auto"/>
              <w:jc w:val="left"/>
            </w:pPr>
            <w:r>
              <w:rPr>
                <w:sz w:val="20"/>
                <w:szCs w:val="20"/>
              </w:rPr>
              <w:t xml:space="preserve">Mittelwert, Median, Varianz, Standardabweichung, Quantile</w:t>
            </w:r>
          </w:p>
        </w:tc>
      </w:tr>
    </w:tbl>
    <w:p>
      <w:pPr>
        <w:pStyle w:val="BodyText"/>
      </w:pPr>
      <w:r>
        <w:t xml:space="preserve">Einige Lehrdatensätze dieses Kurses sind</w:t>
      </w:r>
      <w:r>
        <w:t xml:space="preserve"> </w:t>
      </w:r>
      <w:r>
        <w:rPr>
          <w:b/>
          <w:bCs/>
        </w:rPr>
        <w:t xml:space="preserve">simulierte Daten</w:t>
      </w:r>
      <w:r>
        <w:t xml:space="preserve">. Das sind am Computer erzeugte Werte, die festgelegten Regeln folgen, und keine Messungen an realen Personen. Eine</w:t>
      </w:r>
      <w:r>
        <w:t xml:space="preserve"> </w:t>
      </w:r>
      <w:r>
        <w:rPr>
          <w:b/>
          <w:bCs/>
        </w:rPr>
        <w:t xml:space="preserve">Simulation</w:t>
      </w:r>
      <w:r>
        <w:t xml:space="preserve"> </w:t>
      </w:r>
      <w:r>
        <w:t xml:space="preserve">ist der Vorgang, mit dem diese Werte erzeugt werden. Der Computer verwendet dazu einen</w:t>
      </w:r>
      <w:r>
        <w:t xml:space="preserve"> </w:t>
      </w:r>
      <w:r>
        <w:rPr>
          <w:b/>
          <w:bCs/>
        </w:rPr>
        <w:t xml:space="preserve">Zufallszahlengenerator</w:t>
      </w:r>
      <w:r>
        <w:t xml:space="preserve">, also einen Algorithmus, der Werte erzeugt, die sich wie Zufallsergebnisse verhalten. Ein</w:t>
      </w:r>
      <w:r>
        <w:t xml:space="preserve"> </w:t>
      </w:r>
      <w:r>
        <w:rPr>
          <w:b/>
          <w:bCs/>
        </w:rPr>
        <w:t xml:space="preserve">Seed</w:t>
      </w:r>
      <w:r>
        <w:t xml:space="preserve"> </w:t>
      </w:r>
      <w:r>
        <w:t xml:space="preserve">ist der Startwert für diesen Algorithmus. Wenn derselbe Seed mit denselben Anweisungen erneut verwendet wird, entsteht derselbe Datensatz. Dadurch ist ein Lehrbeispiel reproduzierbar: Du und eine andere lernende Person könnt dieselben Beobachtungen untersuchen und erhaltet dieselben Ergebnisse. Eine Simulation unterstützt das Lernen, doch erzeugte Werte werden dadurch nicht zu Evidenz über eine reale Grundgesamtheit.</w:t>
      </w:r>
    </w:p>
    <w:bookmarkEnd w:id="43"/>
    <w:bookmarkStart w:id="44" w:name="zentrale-ideen"/>
    <w:p>
      <w:pPr>
        <w:pStyle w:val="Heading2"/>
      </w:pPr>
      <w:r>
        <w:t xml:space="preserve">Zentrale Ideen</w:t>
      </w:r>
    </w:p>
    <w:p>
      <w:pPr>
        <w:pStyle w:val="FirstParagraph"/>
      </w:pPr>
      <w:r>
        <w:t xml:space="preserve">Eine Verteilung beschreibt, wie sich die Werte einer Variablen über ihren möglichen Bereich verteilen. Bei einer kategorialen Variable beginnst du mit einer Häufigkeitstabelle. Die absolute Häufigkeit ist die Anzahl Fälle in einer Kategorie. Die relative Häufigkeit ist diese Anzahl geteilt durch die Gesamtzahl der gültigen Fälle. Relative Häufigkeiten lassen sich als Anteile oder Prozentsätze angeben. Prüfe immer, ob fehlende Werte aus dem Nenner ausgeschlossen wurden. Ein Prozentsatz ist nur dann aussagekräftig, wenn seine Bezugsgrösse bekannt ist.</w:t>
      </w:r>
    </w:p>
    <w:p>
      <w:pPr>
        <w:pStyle w:val="BodyText"/>
      </w:pPr>
      <w:r>
        <w:t xml:space="preserve">Bei einer numerischen Variable beschreibst du vier Merkmale gemeinsam: Lage, Streuung, Form und ungewöhnliche Beobachtungen. Der Mittelwert verwendet jeden Wert und bildet den Gleichgewichtspunkt der Verteilung. Der Median ist der mittlere geordnete Wert und teilt die Daten in zwei Hälften. Der Modus ist der häufigste Wert oder die häufigste Kategorie. Die Spannweite reicht vom kleinsten bis zum grössten Wert. Der Interquartilsabstand umfasst die mittlere Hälfte der geordneten Beobachtungen. Varianz und Standardabweichung fassen zusammen, wie weit die Werte typischerweise vom Mittelwert entfernt liegen.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524"/>
        <w:gridCol w:w="3143"/>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Frage</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Nützliche Evidenz</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Gute Lesegewohnheit</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Wo liegt das Zentrum der Verteilung?</w:t>
            </w:r>
          </w:p>
        </w:tc>
        <w:tc>
          <w:tcPr>
            <w:tcW w:w="3524" w:type="dxa"/>
            <w:shd w:fill="F3F7F9"/>
            <w:vAlign w:val="top"/>
          </w:tcPr>
          <w:p>
            <w:pPr>
              <w:pStyle w:val="Compact"/>
              <w:keepLines/>
              <w:widowControl/>
              <w:spacing w:before="0" w:after="40" w:line="240" w:lineRule="auto"/>
              <w:jc w:val="left"/>
            </w:pPr>
            <w:r>
              <w:rPr>
                <w:sz w:val="20"/>
                <w:szCs w:val="20"/>
              </w:rPr>
              <w:t xml:space="preserve">Mittelwert, Median und manchmal Modus</w:t>
            </w:r>
          </w:p>
        </w:tc>
        <w:tc>
          <w:tcPr>
            <w:tcW w:w="3143" w:type="dxa"/>
            <w:shd w:fill="F3F7F9"/>
            <w:vAlign w:val="top"/>
          </w:tcPr>
          <w:p>
            <w:pPr>
              <w:pStyle w:val="Compact"/>
              <w:keepLines/>
              <w:widowControl/>
              <w:spacing w:before="0" w:after="40" w:line="240" w:lineRule="auto"/>
              <w:jc w:val="left"/>
            </w:pPr>
            <w:r>
              <w:rPr>
                <w:sz w:val="20"/>
                <w:szCs w:val="20"/>
              </w:rPr>
              <w:t xml:space="preserve">Mittelwert und Median vergleichen, statt nur eine Zahl anzugeben</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Wie stark unterscheiden sich die Beobachtungen?</w:t>
            </w:r>
          </w:p>
        </w:tc>
        <w:tc>
          <w:tcPr>
            <w:tcW w:w="3524" w:type="dxa"/>
            <w:shd w:fill="FFFFFF"/>
            <w:vAlign w:val="top"/>
          </w:tcPr>
          <w:p>
            <w:pPr>
              <w:pStyle w:val="Compact"/>
              <w:keepLines/>
              <w:widowControl/>
              <w:spacing w:before="0" w:after="40" w:line="240" w:lineRule="auto"/>
              <w:jc w:val="left"/>
            </w:pPr>
            <w:r>
              <w:rPr>
                <w:sz w:val="20"/>
                <w:szCs w:val="20"/>
              </w:rPr>
              <w:t xml:space="preserve">Spannweite, Interquartilsabstand, Varianz, Standardabweichung</w:t>
            </w:r>
          </w:p>
        </w:tc>
        <w:tc>
          <w:tcPr>
            <w:tcW w:w="3143" w:type="dxa"/>
            <w:shd w:fill="FFFFFF"/>
            <w:vAlign w:val="top"/>
          </w:tcPr>
          <w:p>
            <w:pPr>
              <w:pStyle w:val="Compact"/>
              <w:keepLines/>
              <w:widowControl/>
              <w:spacing w:before="0" w:after="40" w:line="240" w:lineRule="auto"/>
              <w:jc w:val="left"/>
            </w:pPr>
            <w:r>
              <w:rPr>
                <w:sz w:val="20"/>
                <w:szCs w:val="20"/>
              </w:rPr>
              <w:t xml:space="preserve">Masseinheit nennen und auf ungewöhnliche Werte achten</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Welche Form bilden die Werte?</w:t>
            </w:r>
          </w:p>
        </w:tc>
        <w:tc>
          <w:tcPr>
            <w:tcW w:w="3524" w:type="dxa"/>
            <w:shd w:fill="F3F7F9"/>
            <w:vAlign w:val="top"/>
          </w:tcPr>
          <w:p>
            <w:pPr>
              <w:pStyle w:val="Compact"/>
              <w:keepLines/>
              <w:widowControl/>
              <w:spacing w:before="0" w:after="40" w:line="240" w:lineRule="auto"/>
              <w:jc w:val="left"/>
            </w:pPr>
            <w:r>
              <w:rPr>
                <w:sz w:val="20"/>
                <w:szCs w:val="20"/>
              </w:rPr>
              <w:t xml:space="preserve">Histogramm, Boxplot, Häufigkeiten, Schiefe</w:t>
            </w:r>
          </w:p>
        </w:tc>
        <w:tc>
          <w:tcPr>
            <w:tcW w:w="3143" w:type="dxa"/>
            <w:shd w:fill="F3F7F9"/>
            <w:vAlign w:val="top"/>
          </w:tcPr>
          <w:p>
            <w:pPr>
              <w:pStyle w:val="Compact"/>
              <w:keepLines/>
              <w:widowControl/>
              <w:spacing w:before="0" w:after="40" w:line="240" w:lineRule="auto"/>
              <w:jc w:val="left"/>
            </w:pPr>
            <w:r>
              <w:rPr>
                <w:sz w:val="20"/>
                <w:szCs w:val="20"/>
              </w:rPr>
              <w:t xml:space="preserve">Auf Symmetrie, Schiefe, Lücken, Häufungen und mehrere Gipfel achten</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Sind einzelne Werte überraschend?</w:t>
            </w:r>
          </w:p>
        </w:tc>
        <w:tc>
          <w:tcPr>
            <w:tcW w:w="3524" w:type="dxa"/>
            <w:shd w:fill="FFFFFF"/>
            <w:vAlign w:val="top"/>
          </w:tcPr>
          <w:p>
            <w:pPr>
              <w:pStyle w:val="Compact"/>
              <w:keepLines/>
              <w:widowControl/>
              <w:spacing w:before="0" w:after="40" w:line="240" w:lineRule="auto"/>
              <w:jc w:val="left"/>
            </w:pPr>
            <w:r>
              <w:rPr>
                <w:sz w:val="20"/>
                <w:szCs w:val="20"/>
              </w:rPr>
              <w:t xml:space="preserve">Rohwerte, Grafik, Datenprüfung, standardisierte Werte</w:t>
            </w:r>
          </w:p>
        </w:tc>
        <w:tc>
          <w:tcPr>
            <w:tcW w:w="3143" w:type="dxa"/>
            <w:shd w:fill="FFFFFF"/>
            <w:vAlign w:val="top"/>
          </w:tcPr>
          <w:p>
            <w:pPr>
              <w:pStyle w:val="Compact"/>
              <w:keepLines/>
              <w:widowControl/>
              <w:spacing w:before="0" w:after="40" w:line="240" w:lineRule="auto"/>
              <w:jc w:val="left"/>
            </w:pPr>
            <w:r>
              <w:rPr>
                <w:sz w:val="20"/>
                <w:szCs w:val="20"/>
              </w:rPr>
              <w:t xml:space="preserve">Zuerst untersuchen und erst danach entscheiden, ob ein Wert fehlerhaft ist</w:t>
            </w:r>
          </w:p>
        </w:tc>
      </w:tr>
    </w:tbl>
    <w:p>
      <w:pPr>
        <w:pStyle w:val="BodyText"/>
      </w:pPr>
      <w:r>
        <w:t xml:space="preserve">Die Form beeinflusst die Interpretation. In einer annähernd symmetrischen Verteilung sind Mittelwert und Median oft ähnlich. Ein langer rechter Rand zieht den Mittelwert tendenziell nach oben, ein langer linker Rand zieht ihn nach unten.</w:t>
      </w:r>
      <w:r>
        <w:t xml:space="preserve"> </w:t>
      </w:r>
      <w:r>
        <w:rPr>
          <w:b/>
          <w:bCs/>
        </w:rPr>
        <w:t xml:space="preserve">Modalität</w:t>
      </w:r>
      <w:r>
        <w:t xml:space="preserve"> </w:t>
      </w:r>
      <w:r>
        <w:t xml:space="preserve">beschreibt die Anzahl und das Muster klarer Gipfel oder Hauptkonzentrationen. Eine Verteilung kann unimodal sein und einen Hauptgipfel besitzen oder multimodal sein und mehrere Häufungen von Beobachtungen zeigen.</w:t>
      </w:r>
      <w:r>
        <w:t xml:space="preserve"> </w:t>
      </w:r>
      <w:r>
        <w:rPr>
          <w:b/>
          <w:bCs/>
        </w:rPr>
        <w:t xml:space="preserve">Kurtosis</w:t>
      </w:r>
      <w:r>
        <w:t xml:space="preserve"> </w:t>
      </w:r>
      <w:r>
        <w:t xml:space="preserve">beschreibt, wie leicht Werte weit in den Randbereichen auftreten, verglichen mit einer symmetrischen glockenförmigen Referenzverteilung mit derselben Gesamtstreuung. Die Gipfelhöhe allein definiert die Kurtosis nicht. Eine einzelne Zahl wie der Mittelwert kann diese Merkmale nicht darstellen. Deshalb solltest du eine Grafik und numerische Kennwerte gemeinsam lesen.</w:t>
      </w:r>
    </w:p>
    <w:p>
      <w:pPr>
        <w:pStyle w:val="BodyText"/>
      </w:pPr>
      <w:r>
        <w:t xml:space="preserve">Eine ungewöhnliche Beobachtung ist nicht automatisch ein Fehler. Sie kann ein gültiger, aber seltener Fall, ein Codierungsfehler, ein Messproblem oder ein Hinweis darauf sein, dass verschiedene Gruppen zusammengefasst wurden. Prüfe die ursprüngliche Definition und den Erfassungsvorgang, bevor du etwas ausschliesst. Wenn sich eine analytische Entscheidung nach dem Entfernen einer Beobachtung verändert, solltest du diese Empfindlichkeit offen berichten.</w:t>
      </w:r>
    </w:p>
    <w:bookmarkEnd w:id="44"/>
    <w:bookmarkStart w:id="45" w:name="formelleitfaden"/>
    <w:p>
      <w:pPr>
        <w:pStyle w:val="Heading2"/>
      </w:pPr>
      <w:r>
        <w:t xml:space="preserve">Formelleitfaden</w:t>
      </w:r>
    </w:p>
    <w:p>
      <w:pPr>
        <w:pStyle w:val="FirstParagraph"/>
      </w:pPr>
      <w:r>
        <w:t xml:space="preserve">Für Kategorie oder Intervall</w:t>
      </w:r>
      <w:r>
        <w:t xml:space="preserve"> </w:t>
      </w:r>
      <ns5:oMath>
        <ns5:r>
          <ns5:t>j</ns5:t>
        </ns5:r>
      </ns5:oMath>
      <w:r>
        <w:t xml:space="preserve"> </w:t>
      </w:r>
      <w:r>
        <w:t xml:space="preserve">sei</w:t>
      </w:r>
      <w:r>
        <w:t xml:space="preserve"> </w:t>
      </w:r>
      <ns5:oMath>
        <ns5:sSub>
          <ns5:e>
            <ns5:r>
              <ns5:t>n</ns5:t>
            </ns5:r>
          </ns5:e>
          <ns5:sub>
            <ns5:r>
              <ns5:t>j</ns5:t>
            </ns5:r>
          </ns5:sub>
        </ns5:sSub>
      </ns5:oMath>
      <w:r>
        <w:t xml:space="preserve"> </w:t>
      </w:r>
      <w:r>
        <w:t xml:space="preserve">die absolute Häufigkeit und</w:t>
      </w:r>
      <w:r>
        <w:t xml:space="preserve"> </w:t>
      </w:r>
      <ns5:oMath>
        <ns5:r>
          <ns5:t>n</ns5:t>
        </ns5:r>
      </ns5:oMath>
      <w:r>
        <w:t xml:space="preserve"> </w:t>
      </w:r>
      <w:r>
        <w:t xml:space="preserve">die Anzahl gültiger Beobachtungen. Die relative Häufigkeit lautet</w:t>
      </w:r>
    </w:p>
    <w:p>
      <w:pPr>
        <w:pStyle w:val="BodyText"/>
      </w:pPr>
      <ns5:oMathPara>
        <ns5:oMathParaPr>
          <ns5:jc ns5:val="center"/>
        </ns5:oMathParaPr>
        <ns5:oMath>
          <ns5:sSub>
            <ns5:e>
              <ns5:r>
                <ns5:t>f</ns5:t>
              </ns5:r>
            </ns5:e>
            <ns5:sub>
              <ns5:r>
                <ns5:t>j</ns5:t>
              </ns5:r>
            </ns5:sub>
          </ns5:sSub>
          <ns5:r>
            <ns5:rPr>
              <ns5:sty ns5:val="p"/>
            </ns5:rPr>
            <ns5:t>=</ns5:t>
          </ns5:r>
          <ns5:f>
            <ns5:fPr>
              <ns5:type ns5:val="bar"/>
            </ns5:fPr>
            <ns5:num>
              <ns5:sSub>
                <ns5:e>
                  <ns5:r>
                    <ns5:t>n</ns5:t>
                  </ns5:r>
                </ns5:e>
                <ns5:sub>
                  <ns5:r>
                    <ns5:t>j</ns5:t>
                  </ns5:r>
                </ns5:sub>
              </ns5:sSub>
            </ns5:num>
            <ns5:den>
              <ns5:r>
                <ns5:t>n</ns5:t>
              </ns5:r>
            </ns5:den>
          </ns5:f>
          <ns5:r>
            <ns5:rPr>
              <ns5:sty ns5:val="p"/>
            </ns5:rPr>
            <ns5:t>.</ns5:t>
          </ns5:r>
        </ns5:oMath>
      </ns5:oMathPara>
    </w:p>
    <w:p>
      <w:pPr>
        <w:pStyle w:val="FirstParagraph"/>
      </w:pPr>
      <w:r>
        <w:t xml:space="preserve">Bei geordneten Kategorien oder numerischen Intervallen ist die kumulierte relative Häufigkeit bis einschliesslich Kategorie</w:t>
      </w:r>
      <w:r>
        <w:t xml:space="preserve"> </w:t>
      </w:r>
      <ns5:oMath>
        <ns5:r>
          <ns5:t>j</ns5:t>
        </ns5:r>
      </ns5:oMath>
    </w:p>
    <w:p>
      <w:pPr>
        <w:pStyle w:val="BodyText"/>
      </w:pPr>
      <ns5:oMathPara>
        <ns5:oMathParaPr>
          <ns5:jc ns5:val="center"/>
        </ns5:oMathParaPr>
        <ns5:oMath>
          <ns5:sSub>
            <ns5:e>
              <ns5:r>
                <ns5:t>F</ns5:t>
              </ns5:r>
            </ns5:e>
            <ns5:sub>
              <ns5:r>
                <ns5:t>j</ns5:t>
              </ns5:r>
            </ns5:sub>
          </ns5:sSub>
          <ns5:r>
            <ns5:rPr>
              <ns5:sty ns5:val="p"/>
            </ns5:rPr>
            <ns5:t>=</ns5:t>
          </ns5:r>
          <ns5:nary>
            <ns5:naryPr>
              <ns5:chr ns5:val="∑"/>
              <ns5:limLoc ns5:val="undOvr"/>
              <ns5:subHide ns5:val="off"/>
              <ns5:supHide ns5:val="off"/>
            </ns5:naryPr>
            <ns5:sub>
              <ns5:r>
                <ns5:t>h</ns5:t>
              </ns5:r>
              <ns5:r>
                <ns5:rPr>
                  <ns5:sty ns5:val="p"/>
                </ns5:rPr>
                <ns5:t>=</ns5:t>
              </ns5:r>
              <ns5:r>
                <ns5:t>1</ns5:t>
              </ns5:r>
            </ns5:sub>
            <ns5:sup>
              <ns5:r>
                <ns5:t>j</ns5:t>
              </ns5:r>
            </ns5:sup>
            <ns5:e>
              <ns5:sSub>
                <ns5:e>
                  <ns5:r>
                    <ns5:t>f</ns5:t>
                  </ns5:r>
                </ns5:e>
                <ns5:sub>
                  <ns5:r>
                    <ns5:t>h</ns5:t>
                  </ns5:r>
                </ns5:sub>
              </ns5:sSub>
            </ns5:e>
          </ns5:nary>
          <ns5:r>
            <ns5:rPr>
              <ns5:sty ns5:val="p"/>
            </ns5:rPr>
            <ns5:t>.</ns5:t>
          </ns5:r>
        </ns5:oMath>
      </ns5:oMathPara>
    </w:p>
    <w:p>
      <w:pPr>
        <w:pStyle w:val="FirstParagraph"/>
      </w:pPr>
      <w:r>
        <w:t xml:space="preserve">Die absoluten Häufigkeiten sollten sich zu</w:t>
      </w:r>
      <w:r>
        <w:t xml:space="preserve"> </w:t>
      </w:r>
      <ns5:oMath>
        <ns5:r>
          <ns5:t>n</ns5:t>
        </ns5:r>
      </ns5:oMath>
      <w:r>
        <w:t xml:space="preserve"> </w:t>
      </w:r>
      <w:r>
        <w:t xml:space="preserve">und die relativen Häufigkeiten abgesehen von Rundungen zu 1 addieren. Die letzte kumulierte relative Häufigkeit sollte ebenfalls 1 betragen. Kumulierte Häufigkeiten sind nur bei Kategorien mit einer inhaltlich vertretbaren Reihenfolge sinnvoll.</w:t>
      </w:r>
    </w:p>
    <w:p>
      <w:pPr>
        <w:pStyle w:val="BodyText"/>
      </w:pPr>
      <w:r>
        <w:t xml:space="preserve">Seien</w:t>
      </w:r>
      <w:r>
        <w:t xml:space="preserve"> </w:t>
      </w:r>
      <ns5:oMath>
        <ns5:sSub>
          <ns5:e>
            <ns5:r>
              <ns5:t>x</ns5:t>
            </ns5:r>
          </ns5:e>
          <ns5:sub>
            <ns5:r>
              <ns5:t>1</ns5:t>
            </ns5:r>
          </ns5:sub>
        </ns5:sSub>
        <ns5:r>
          <ns5:rPr>
            <ns5:sty ns5:val="p"/>
          </ns5:rPr>
          <ns5:t>,</ns5:t>
        </ns5:r>
        <ns5:sSub>
          <ns5:e>
            <ns5:r>
              <ns5:t>x</ns5:t>
            </ns5:r>
          </ns5:e>
          <ns5:sub>
            <ns5:r>
              <ns5:t>2</ns5:t>
            </ns5:r>
          </ns5:sub>
        </ns5:sSub>
        <ns5:r>
          <ns5:rPr>
            <ns5:sty ns5:val="p"/>
          </ns5:rPr>
          <ns5:t>,</ns5:t>
        </ns5:r>
        <ns5:r>
          <ns5:rPr>
            <ns5:sty ns5:val="p"/>
          </ns5:rPr>
          <ns5:t>…</ns5:t>
        </ns5:r>
        <ns5:r>
          <ns5:rPr>
            <ns5:sty ns5:val="p"/>
          </ns5:rPr>
          <ns5:t>,</ns5:t>
        </ns5:r>
        <ns5:sSub>
          <ns5:e>
            <ns5:r>
              <ns5:t>x</ns5:t>
            </ns5:r>
          </ns5:e>
          <ns5:sub>
            <ns5:r>
              <ns5:t>n</ns5:t>
            </ns5:r>
          </ns5:sub>
        </ns5:sSub>
      </ns5:oMath>
      <w:r>
        <w:t xml:space="preserve"> </w:t>
      </w:r>
      <w:r>
        <w:t xml:space="preserve">die beobachteten Werte einer numerischen Variablen. Der Stichprobenmittelwert addiert alle Werte und teilt die Summe durch die Anzahl Beobachtungen:</w:t>
      </w:r>
    </w:p>
    <w:p>
      <w:pPr>
        <w:pStyle w:val="BodyText"/>
      </w:pPr>
      <ns5:oMathPara>
        <ns5:oMathParaPr>
          <ns5:jc ns5:val="center"/>
        </ns5:oMathPara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ns5:oMathPara>
    </w:p>
    <w:p>
      <w:pPr>
        <w:pStyle w:val="FirstParagraph"/>
      </w:pPr>
      <w:r>
        <w:t xml:space="preserve">Das Zeichen</w:t>
      </w:r>
      <w:r>
        <w:t xml:space="preserve"> </w:t>
      </w:r>
      <ns5:oMath>
        <ns5:r>
          <ns5:rPr>
            <ns5:sty ns5:val="p"/>
          </ns5:rPr>
          <ns5:t>∑</ns5:t>
        </ns5:r>
      </ns5:oMath>
      <w:r>
        <w:t xml:space="preserve"> </w:t>
      </w:r>
      <w:r>
        <w:t xml:space="preserve">bedeutet, dass die angegebenen Werte addiert werden. Der Index</w:t>
      </w:r>
      <w:r>
        <w:t xml:space="preserve"> </w:t>
      </w:r>
      <ns5:oMath>
        <ns5:r>
          <ns5:t>i</ns5:t>
        </ns5:r>
      </ns5:oMath>
      <w:r>
        <w:t xml:space="preserve"> </w:t>
      </w:r>
      <w:r>
        <w:t xml:space="preserve">bezeichnet jeweils eine Beobachtung, von der ersten Beobachtung bis zur Beobachtung</w:t>
      </w:r>
      <w:r>
        <w:t xml:space="preserve"> </w:t>
      </w:r>
      <ns5:oMath>
        <ns5:r>
          <ns5:t>n</ns5:t>
        </ns5:r>
      </ns5:oMath>
      <w:r>
        <w:t xml:space="preserve">. Die Abweichung</w:t>
      </w:r>
      <w:r>
        <w:t xml:space="preserve"> </w:t>
      </w:r>
      <ns5:oMath>
        <ns5:sSub>
          <ns5:e>
            <ns5:r>
              <ns5:t>x</ns5:t>
            </ns5:r>
          </ns5:e>
          <ns5:sub>
            <ns5:r>
              <ns5:t>i</ns5:t>
            </ns5:r>
          </ns5:sub>
        </ns5:sSub>
        <ns5:r>
          <ns5:rPr>
            <ns5:sty ns5:val="p"/>
          </ns5:rPr>
          <ns5:t>−</ns5:t>
        </ns5:r>
        <ns5:acc>
          <ns5:accPr>
            <ns5:chr ns5:val="‾"/>
          </ns5:accPr>
          <ns5:e>
            <ns5:r>
              <ns5:t>x</ns5:t>
            </ns5:r>
          </ns5:e>
        </ns5:acc>
      </ns5:oMath>
      <w:r>
        <w:t xml:space="preserve"> </w:t>
      </w:r>
      <w:r>
        <w:t xml:space="preserve">zeigt, wie weit ein Wert über oder unter dem Mittelwert liegt. Positive und negative Abweichungen heben sich beim Addieren gegenseitig auf. Deshalb werden sie für die Varianz zuerst quadriert. Die Stichprobenvarianz verwendet</w:t>
      </w:r>
      <w:r>
        <w:t xml:space="preserve"> </w:t>
      </w:r>
      <ns5:oMath>
        <ns5:r>
          <ns5:t>n</ns5:t>
        </ns5:r>
        <ns5:r>
          <ns5:rPr>
            <ns5:sty ns5:val="p"/>
          </ns5:rPr>
          <ns5:t>−</ns5:t>
        </ns5:r>
        <ns5:r>
          <ns5:t>1</ns5:t>
        </ns5:r>
      </ns5:oMath>
      <w:r>
        <w:t xml:space="preserve"> </w:t>
      </w:r>
      <w:r>
        <w:t xml:space="preserve">im Nenner:</w:t>
      </w:r>
    </w:p>
    <w:p>
      <w:pPr>
        <w:pStyle w:val="BodyText"/>
      </w:pPr>
      <ns5:oMathPara>
        <ns5:oMathParaPr>
          <ns5:jc ns5:val="center"/>
        </ns5:oMathPara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ns5:oMathPara>
    </w:p>
    <w:p>
      <w:pPr>
        <w:pStyle w:val="FirstParagraph"/>
      </w:pPr>
      <w:r>
        <w:t xml:space="preserve">Die entsprechende Populationsvarianz verwendet den Populationsmittelwert</w:t>
      </w:r>
      <w:r>
        <w:t xml:space="preserve"> </w:t>
      </w:r>
      <ns5:oMath>
        <ns5:r>
          <ns5:t>μ</ns5:t>
        </ns5:r>
      </ns5:oMath>
      <w:r>
        <w:t xml:space="preserve"> </w:t>
      </w:r>
      <w:r>
        <w:t xml:space="preserve">und teilt durch die Populationsgrösse</w:t>
      </w:r>
      <w:r>
        <w:t xml:space="preserve"> </w:t>
      </w:r>
      <ns5:oMath>
        <ns5:r>
          <ns5:t>N</ns5:t>
        </ns5:r>
      </ns5:oMath>
      <w:r>
        <w:t xml:space="preserve">:</w:t>
      </w:r>
    </w:p>
    <w:p>
      <w:pPr>
        <w:pStyle w:val="BodyText"/>
      </w:pPr>
      <ns5:oMathPara>
        <ns5:oMathParaPr>
          <ns5:jc ns5:val="center"/>
        </ns5:oMathParaPr>
        <ns5:oMath>
          <ns5:sSup>
            <ns5:e>
              <ns5:r>
                <ns5:t>σ</ns5:t>
              </ns5:r>
            </ns5:e>
            <ns5:sup>
              <ns5:r>
                <ns5:t>2</ns5:t>
              </ns5:r>
            </ns5:sup>
          </ns5:sSup>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r>
                        <ns5:t>μ</ns5:t>
                      </ns5:r>
                    </ns5:e>
                  </ns5:d>
                </ns5:e>
                <ns5:sup>
                  <ns5:r>
                    <ns5:t>2</ns5:t>
                  </ns5:r>
                </ns5:sup>
              </ns5:sSup>
            </ns5:e>
          </ns5:nary>
          <ns5:r>
            <ns5:rPr>
              <ns5:sty ns5:val="p"/>
            </ns5:rPr>
            <ns5:t>.</ns5:t>
          </ns5:r>
        </ns5:oMath>
      </ns5:oMathPara>
    </w:p>
    <w:p>
      <w:pPr>
        <w:pStyle w:val="FirstParagraph"/>
      </w:pPr>
      <w:r>
        <w:t xml:space="preserve">Halte die beiden Zielgrössen auseinander. Der Nenner</w:t>
      </w:r>
      <w:r>
        <w:t xml:space="preserve"> </w:t>
      </w:r>
      <ns5:oMath>
        <ns5:r>
          <ns5:t>n</ns5:t>
        </ns5:r>
        <ns5:r>
          <ns5:rPr>
            <ns5:sty ns5:val="p"/>
          </ns5:rPr>
          <ns5:t>−</ns5:t>
        </ns5:r>
        <ns5:r>
          <ns5:t>1</ns5:t>
        </ns5:r>
      </ns5:oMath>
      <w:r>
        <w:t xml:space="preserve"> </w:t>
      </w:r>
      <w:r>
        <w:t xml:space="preserve">gehört zur korrigierten Stichprobenvarianz, mit der die Variabilität der Grundgesamtheit geschätzt wird. Die Division durch</w:t>
      </w:r>
      <w:r>
        <w:t xml:space="preserve"> </w:t>
      </w:r>
      <ns5:oMath>
        <ns5:r>
          <ns5:t>N</ns5:t>
        </ns5:r>
      </ns5:oMath>
      <w:r>
        <w:t xml:space="preserve"> </w:t>
      </w:r>
      <w:r>
        <w:t xml:space="preserve">beschreibt dagegen die vollständigen Werte der Grundgesamtheit selbst.</w:t>
      </w:r>
    </w:p>
    <w:p>
      <w:pPr>
        <w:pStyle w:val="BodyText"/>
      </w:pPr>
      <w:r>
        <w:t xml:space="preserve">Die Varianz wird in quadrierten Einheiten angegeben. Mit ihrer Quadratwurzel kehren wir zur ursprünglichen Masseinheit zurück. Die Stichprobenstandardabweichung lautet deshalb:</w:t>
      </w:r>
    </w:p>
    <w:p>
      <w:pPr>
        <w:pStyle w:val="BodyText"/>
      </w:pPr>
      <ns5:oMathPara>
        <ns5:oMathParaPr>
          <ns5:jc ns5:val="center"/>
        </ns5:oMathParaPr>
        <ns5:oMath>
          <ns5:r>
            <ns5:t>s</ns5:t>
          </ns5:r>
          <ns5:r>
            <ns5:rPr>
              <ns5:sty ns5:val="p"/>
            </ns5:rPr>
            <ns5:t>=</ns5:t>
          </ns5:r>
          <ns5:rad>
            <ns5:radPr>
              <ns5:degHide ns5:val="on"/>
            </ns5:radPr>
            <ns5:deg/>
            <ns5:e>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oMath>
      </ns5:oMathPara>
    </w:p>
    <w:p>
      <w:pPr>
        <w:pStyle w:val="FirstParagraph"/>
      </w:pPr>
      <w:r>
        <w:t xml:space="preserve">Ein standardisierter Wert drückt einen einzelnen Wert in Standardabweichungseinheiten aus. Dazu wird der Stichprobenmittelwert abgezogen und durch die Stichprobenstandardabweichung geteilt:</w:t>
      </w:r>
    </w:p>
    <w:p>
      <w:pPr>
        <w:pStyle w:val="BodyText"/>
      </w:pPr>
      <ns5:oMathPara>
        <ns5:oMathParaPr>
          <ns5:jc ns5:val="center"/>
        </ns5:oMathParaPr>
        <ns5:oMath>
          <ns5:sSub>
            <ns5:e>
              <ns5:r>
                <ns5:t>z</ns5:t>
              </ns5:r>
            </ns5:e>
            <ns5:sub>
              <ns5:r>
                <ns5:t>i</ns5:t>
              </ns5:r>
            </ns5:sub>
          </ns5:sSub>
          <ns5:r>
            <ns5:rPr>
              <ns5:sty ns5:val="p"/>
            </ns5:rPr>
            <ns5:t>=</ns5:t>
          </ns5:r>
          <ns5:f>
            <ns5:fPr>
              <ns5:type ns5:val="bar"/>
            </ns5:fPr>
            <ns5:num>
              <ns5:sSub>
                <ns5:e>
                  <ns5:r>
                    <ns5:t>x</ns5:t>
                  </ns5:r>
                </ns5:e>
                <ns5:sub>
                  <ns5:r>
                    <ns5:t>i</ns5:t>
                  </ns5:r>
                </ns5:sub>
              </ns5:sSub>
              <ns5:r>
                <ns5:rPr>
                  <ns5:sty ns5:val="p"/>
                </ns5:rPr>
                <ns5:t>−</ns5:t>
              </ns5:r>
              <ns5:acc>
                <ns5:accPr>
                  <ns5:chr ns5:val="‾"/>
                </ns5:accPr>
                <ns5:e>
                  <ns5:r>
                    <ns5:t>x</ns5:t>
                  </ns5:r>
                </ns5:e>
              </ns5:acc>
            </ns5:num>
            <ns5:den>
              <ns5:r>
                <ns5:t>s</ns5:t>
              </ns5:r>
            </ns5:den>
          </ns5:f>
        </ns5:oMath>
      </ns5:oMathPara>
    </w:p>
    <w:p>
      <w:pPr>
        <w:pStyle w:val="FirstParagraph"/>
      </w:pPr>
      <w:r>
        <w:t xml:space="preserve">Ein positives</w:t>
      </w:r>
      <w:r>
        <w:t xml:space="preserve"> </w:t>
      </w:r>
      <ns5:oMath>
        <ns5:sSub>
          <ns5:e>
            <ns5:r>
              <ns5:t>z</ns5:t>
            </ns5:r>
          </ns5:e>
          <ns5:sub>
            <ns5:r>
              <ns5:t>i</ns5:t>
            </ns5:r>
          </ns5:sub>
        </ns5:sSub>
      </ns5:oMath>
      <w:r>
        <w:t xml:space="preserve"> </w:t>
      </w:r>
      <w:r>
        <w:t xml:space="preserve">bedeutet, dass der Wert über dem Mittelwert liegt, ein negatives</w:t>
      </w:r>
      <w:r>
        <w:t xml:space="preserve"> </w:t>
      </w:r>
      <ns5:oMath>
        <ns5:sSub>
          <ns5:e>
            <ns5:r>
              <ns5:t>z</ns5:t>
            </ns5:r>
          </ns5:e>
          <ns5:sub>
            <ns5:r>
              <ns5:t>i</ns5:t>
            </ns5:r>
          </ns5:sub>
        </ns5:sSub>
      </ns5:oMath>
      <w:r>
        <w:t xml:space="preserve"> </w:t>
      </w:r>
      <w:r>
        <w:t xml:space="preserve">bedeutet, dass er darunter liegt. Der Betrag gibt den Abstand in Standardabweichungen an. Die Standardisierung verändert die Einheit und den Bezugspunkt, aber weder die Reihenfolge noch die Form der Beobachtungen.</w:t>
      </w:r>
    </w:p>
    <w:p>
      <w:pPr>
        <w:pStyle w:val="BodyText"/>
      </w:pPr>
      <w:r>
        <w:t xml:space="preserve">Median und Quantile beginnen mit den geordneten Beobachtungen. Das erste Quartil</w:t>
      </w:r>
      <w:r>
        <w:t xml:space="preserve"> </w:t>
      </w:r>
      <ns5:oMath>
        <ns5:sSub>
          <ns5:e>
            <ns5:r>
              <ns5:t>Q</ns5:t>
            </ns5:r>
          </ns5:e>
          <ns5:sub>
            <ns5:r>
              <ns5:t>1</ns5:t>
            </ns5:r>
          </ns5:sub>
        </ns5:sSub>
      </ns5:oMath>
      <w:r>
        <w:t xml:space="preserve"> </w:t>
      </w:r>
      <w:r>
        <w:t xml:space="preserve">markiert das untere Viertel, der Median</w:t>
      </w:r>
      <w:r>
        <w:t xml:space="preserve"> </w:t>
      </w:r>
      <ns5:oMath>
        <ns5:sSub>
          <ns5:e>
            <ns5:r>
              <ns5:t>Q</ns5:t>
            </ns5:r>
          </ns5:e>
          <ns5:sub>
            <ns5:r>
              <ns5:t>2</ns5:t>
            </ns5:r>
          </ns5:sub>
        </ns5:sSub>
      </ns5:oMath>
      <w:r>
        <w:t xml:space="preserve"> </w:t>
      </w:r>
      <w:r>
        <w:t xml:space="preserve">die Hälfte und das dritte Quartil</w:t>
      </w:r>
      <w:r>
        <w:t xml:space="preserve"> </w:t>
      </w:r>
      <ns5:oMath>
        <ns5:sSub>
          <ns5:e>
            <ns5:r>
              <ns5:t>Q</ns5:t>
            </ns5:r>
          </ns5:e>
          <ns5:sub>
            <ns5:r>
              <ns5:t>3</ns5:t>
            </ns5:r>
          </ns5:sub>
        </ns5:sSub>
      </ns5:oMath>
      <w:r>
        <w:t xml:space="preserve"> </w:t>
      </w:r>
      <w:r>
        <w:t xml:space="preserve">die unteren drei Viertel. Spannweite und Interquartilsabstand lauten</w:t>
      </w:r>
    </w:p>
    <w:p>
      <w:pPr>
        <w:pStyle w:val="BodyText"/>
      </w:pPr>
      <ns5:oMathPara>
        <ns5:oMathParaPr>
          <ns5:jc ns5:val="center"/>
        </ns5:oMathParaPr>
        <ns5:oMath>
          <ns5:r>
            <ns5:rPr>
              <ns5:nor/>
              <ns5:sty ns5:val="p"/>
            </ns5:rPr>
            <ns5:t>Spannweite</ns5:t>
          </ns5:r>
          <ns5:r>
            <ns5:rPr>
              <ns5:sty ns5:val="p"/>
            </ns5:rPr>
            <ns5:t>=</ns5:t>
          </ns5:r>
          <ns5:sSub>
            <ns5:e>
              <ns5:r>
                <ns5:t>x</ns5:t>
              </ns5:r>
            </ns5:e>
            <ns5:sub>
              <ns5:r>
                <ns5:rPr>
                  <ns5:sty ns5:val="p"/>
                </ns5:rPr>
                <ns5:t>max</ns5:t>
              </ns5:r>
            </ns5:sub>
          </ns5:sSub>
          <ns5:r>
            <ns5:rPr>
              <ns5:sty ns5:val="p"/>
            </ns5:rPr>
            <ns5:t>−</ns5:t>
          </ns5:r>
          <ns5:sSub>
            <ns5:e>
              <ns5:r>
                <ns5:t>x</ns5:t>
              </ns5:r>
            </ns5:e>
            <ns5:sub>
              <ns5:r>
                <ns5:rPr>
                  <ns5:sty ns5:val="p"/>
                </ns5:rPr>
                <ns5:t>min</ns5:t>
              </ns5:r>
            </ns5:sub>
          </ns5:sSub>
          <ns5:r>
            <ns5:rPr>
              <ns5:sty ns5:val="p"/>
            </ns5:rPr>
            <ns5:t>,</ns5:t>
          </ns5:r>
          <ns5:r>
            <ns5:t>  </ns5:t>
          </ns5:r>
          <ns5:r>
            <ns5:t>I</ns5:t>
          </ns5:r>
          <ns5:r>
            <ns5:t>Q</ns5:t>
          </ns5:r>
          <ns5:r>
            <ns5:t>R</ns5:t>
          </ns5:r>
          <ns5:r>
            <ns5:rPr>
              <ns5:sty ns5:val="p"/>
            </ns5:rPr>
            <ns5:t>=</ns5:t>
          </ns5:r>
          <ns5:sSub>
            <ns5:e>
              <ns5:r>
                <ns5:t>Q</ns5:t>
              </ns5:r>
            </ns5:e>
            <ns5:sub>
              <ns5:r>
                <ns5:t>3</ns5:t>
              </ns5:r>
            </ns5:sub>
          </ns5:sSub>
          <ns5:r>
            <ns5:rPr>
              <ns5:sty ns5:val="p"/>
            </ns5:rPr>
            <ns5:t>−</ns5:t>
          </ns5:r>
          <ns5:sSub>
            <ns5:e>
              <ns5:r>
                <ns5:t>Q</ns5:t>
              </ns5:r>
            </ns5:e>
            <ns5:sub>
              <ns5:r>
                <ns5:t>1</ns5:t>
              </ns5:r>
            </ns5:sub>
          </ns5:sSub>
          <ns5:r>
            <ns5:rPr>
              <ns5:sty ns5:val="p"/>
            </ns5:rPr>
            <ns5:t>.</ns5:t>
          </ns5:r>
        </ns5:oMath>
      </ns5:oMathPara>
    </w:p>
    <w:p>
      <w:pPr>
        <w:pStyle w:val="FirstParagraph"/>
      </w:pPr>
      <w:r>
        <w:t xml:space="preserve">Konventionen für Stichprobenquantile können unterschiedlich interpolieren. Bei einem kleinen Datensatz kann Software deshalb leicht verschiedene Quartile ausgeben. Eine verbreitete Boxplot-Diagnose verwendet die inneren Grenzen</w:t>
      </w:r>
    </w:p>
    <w:p>
      <w:pPr>
        <w:pStyle w:val="BodyText"/>
      </w:pPr>
      <ns5:oMathPara>
        <ns5:oMathParaPr>
          <ns5:jc ns5:val="center"/>
        </ns5:oMathParaPr>
        <ns5:oMath>
          <ns5:sSub>
            <ns5:e>
              <ns5:r>
                <ns5:t>Q</ns5:t>
              </ns5:r>
            </ns5:e>
            <ns5:sub>
              <ns5:r>
                <ns5:t>1</ns5:t>
              </ns5:r>
            </ns5:sub>
          </ns5:sSub>
          <ns5:r>
            <ns5:rPr>
              <ns5:sty ns5:val="p"/>
            </ns5:rPr>
            <ns5:t>−</ns5:t>
          </ns5:r>
          <ns5:r>
            <ns5:t>1.5</ns5:t>
          </ns5:r>
          <ns5:d>
            <ns5:dPr>
              <ns5:begChr ns5:val="("/>
              <ns5:sepChr ns5:val=""/>
              <ns5:endChr ns5:val=")"/>
              <ns5:grow/>
            </ns5:dPr>
            <ns5:e>
              <ns5:r>
                <ns5:t>I</ns5:t>
              </ns5:r>
              <ns5:r>
                <ns5:t>Q</ns5:t>
              </ns5:r>
              <ns5:r>
                <ns5:t>R</ns5:t>
              </ns5:r>
            </ns5:e>
          </ns5:d>
          <ns5:r>
            <ns5:t>  </ns5:t>
          </ns5:r>
          <ns5:r>
            <ns5:rPr>
              <ns5:nor/>
              <ns5:sty ns5:val="p"/>
            </ns5:rPr>
            <ns5:t>und</ns5:t>
          </ns5:r>
          <ns5:r>
            <ns5:t>  </ns5:t>
          </ns5:r>
          <ns5:sSub>
            <ns5:e>
              <ns5:r>
                <ns5:t>Q</ns5:t>
              </ns5:r>
            </ns5:e>
            <ns5:sub>
              <ns5:r>
                <ns5:t>3</ns5:t>
              </ns5:r>
            </ns5:sub>
          </ns5:sSub>
          <ns5:r>
            <ns5:rPr>
              <ns5:sty ns5:val="p"/>
            </ns5:rPr>
            <ns5:t>+</ns5:t>
          </ns5:r>
          <ns5:r>
            <ns5:t>1.5</ns5:t>
          </ns5:r>
          <ns5:d>
            <ns5:dPr>
              <ns5:begChr ns5:val="("/>
              <ns5:sepChr ns5:val=""/>
              <ns5:endChr ns5:val=")"/>
              <ns5:grow/>
            </ns5:dPr>
            <ns5:e>
              <ns5:r>
                <ns5:t>I</ns5:t>
              </ns5:r>
              <ns5:r>
                <ns5:t>Q</ns5:t>
              </ns5:r>
              <ns5:r>
                <ns5:t>R</ns5:t>
              </ns5:r>
            </ns5:e>
          </ns5:d>
          <ns5:r>
            <ns5:rPr>
              <ns5:sty ns5:val="p"/>
            </ns5:rPr>
            <ns5:t>.</ns5:t>
          </ns5:r>
        </ns5:oMath>
      </ns5:oMathPara>
    </w:p>
    <w:p>
      <w:pPr>
        <w:pStyle w:val="FirstParagraph"/>
      </w:pPr>
      <w:r>
        <w:t xml:space="preserve">Werte ausserhalb einer Grenze sind mögliche Ausreisser, die untersucht werden sollten, und keine automatisch zu löschenden Fehler. Die Whisker enden bei den extremsten beobachteten Werten, die noch innerhalb der Grenzen liegen. Sie enden nicht zwingend genau an den berechneten Grenzen.</w:t>
      </w:r>
    </w:p>
    <w:p>
      <w:pPr>
        <w:pStyle w:val="BodyText"/>
      </w:pPr>
      <w:r>
        <w:t xml:space="preserve">Bei einer linearen Transformation</w:t>
      </w:r>
      <w:r>
        <w:t xml:space="preserve"> </w:t>
      </w:r>
      <ns5:oMath>
        <ns5:r>
          <ns5:t>Y</ns5:t>
        </ns5:r>
        <ns5:r>
          <ns5:rPr>
            <ns5:sty ns5:val="p"/>
          </ns5:rPr>
          <ns5:t>=</ns5:t>
        </ns5:r>
        <ns5:r>
          <ns5:t>a</ns5:t>
        </ns5:r>
        <ns5:r>
          <ns5:rPr>
            <ns5:sty ns5:val="p"/>
          </ns5:rPr>
          <ns5:t>+</ns5:t>
        </ns5:r>
        <ns5:r>
          <ns5:t>b</ns5:t>
        </ns5:r>
        <ns5:r>
          <ns5:t>X</ns5:t>
        </ns5:r>
      </ns5:oMath>
      <w:r>
        <w:t xml:space="preserve"> </w:t>
      </w:r>
      <w:r>
        <w:t xml:space="preserve">verändern sich Lage und Streuung gemäss</w:t>
      </w:r>
    </w:p>
    <w:p>
      <w:pPr>
        <w:pStyle w:val="BodyText"/>
      </w:pPr>
      <ns5:oMathPara>
        <ns5:oMathParaPr>
          <ns5:jc ns5:val="center"/>
        </ns5:oMathPara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r>
            <ns5:rPr>
              <ns5:sty ns5:val="p"/>
            </ns5:rPr>
            <ns5:t>,</ns5:t>
          </ns5:r>
          <ns5:r>
            <ns5:t>  </ns5:t>
          </ns5:r>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r>
            <ns5:rPr>
              <ns5:sty ns5:val="p"/>
            </ns5:rPr>
            <ns5:t>,</ns5:t>
          </ns5:r>
          <ns5:r>
            <ns5:t>  </ns5:t>
          </ns5:r>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r>
            <ns5:rPr>
              <ns5:sty ns5:val="p"/>
            </ns5:rPr>
            <ns5:t>.</ns5:t>
          </ns5:r>
        </ns5:oMath>
      </ns5:oMathPara>
    </w:p>
    <w:p>
      <w:pPr>
        <w:pStyle w:val="FirstParagraph"/>
      </w:pPr>
      <w:r>
        <w:t xml:space="preserve">Die Verschiebung</w:t>
      </w:r>
      <w:r>
        <w:t xml:space="preserve"> </w:t>
      </w:r>
      <ns5:oMath>
        <ns5:r>
          <ns5:t>a</ns5:t>
        </ns5:r>
      </ns5:oMath>
      <w:r>
        <w:t xml:space="preserve"> </w:t>
      </w:r>
      <w:r>
        <w:t xml:space="preserve">verändert die Lage, aber nicht die Streuung. Der Faktor</w:t>
      </w:r>
      <w:r>
        <w:t xml:space="preserve"> </w:t>
      </w:r>
      <ns5:oMath>
        <ns5:r>
          <ns5:t>b</ns5:t>
        </ns5:r>
      </ns5:oMath>
      <w:r>
        <w:t xml:space="preserve"> </w:t>
      </w:r>
      <w:r>
        <w:t xml:space="preserve">verändert Abstände um</w:t>
      </w:r>
      <w:r>
        <w:t xml:space="preserve"> </w:t>
      </w:r>
      <ns5:oMath>
        <ns5:d>
          <ns5:dPr>
            <ns5:begChr ns5:val="|"/>
            <ns5:sepChr ns5:val=""/>
            <ns5:endChr ns5:val="|"/>
            <ns5:grow/>
          </ns5:dPr>
          <ns5:e>
            <ns5:r>
              <ns5:t>b</ns5:t>
            </ns5:r>
          </ns5:e>
        </ns5:d>
      </ns5:oMath>
      <w:r>
        <w:t xml:space="preserve">, weshalb sich die Varianz um</w:t>
      </w:r>
      <w:r>
        <w:t xml:space="preserve"> </w:t>
      </w:r>
      <ns5:oMath>
        <ns5:sSup>
          <ns5:e>
            <ns5:r>
              <ns5:t>b</ns5:t>
            </ns5:r>
          </ns5:e>
          <ns5:sup>
            <ns5:r>
              <ns5:t>2</ns5:t>
            </ns5:r>
          </ns5:sup>
        </ns5:sSup>
      </ns5:oMath>
      <w:r>
        <w:t xml:space="preserve"> </w:t>
      </w:r>
      <w:r>
        <w:t xml:space="preserve">verändert. Die Standardisierung ist der Spezialfall, bei dem der Mittelwert abgezogen und durch die Standardabweichung geteilt wird.</w:t>
      </w:r>
    </w:p>
    <w:p>
      <w:pPr>
        <w:pStyle w:val="BodyText"/>
      </w:pPr>
      <w:r>
        <w:t xml:space="preserve">Bei der Höhe von Histogrammbalken ist eine letzte Prüfung nötig. Besitzt Klasse</w:t>
      </w:r>
      <w:r>
        <w:t xml:space="preserve"> </w:t>
      </w:r>
      <ns5:oMath>
        <ns5:r>
          <ns5:t>j</ns5:t>
        </ns5:r>
      </ns5:oMath>
      <w:r>
        <w:t xml:space="preserve"> </w:t>
      </w:r>
      <w:r>
        <w:t xml:space="preserve">die relative Häufigkeit</w:t>
      </w:r>
      <w:r>
        <w:t xml:space="preserve"> </w:t>
      </w:r>
      <ns5:oMath>
        <ns5:sSub>
          <ns5:e>
            <ns5:r>
              <ns5:t>f</ns5:t>
            </ns5:r>
          </ns5:e>
          <ns5:sub>
            <ns5:r>
              <ns5:t>j</ns5:t>
            </ns5:r>
          </ns5:sub>
        </ns5:sSub>
      </ns5:oMath>
      <w:r>
        <w:t xml:space="preserve"> </w:t>
      </w:r>
      <w:r>
        <w:t xml:space="preserve">und die Breite</w:t>
      </w:r>
      <w:r>
        <w:t xml:space="preserve"> </w:t>
      </w:r>
      <ns5:oMath>
        <ns5:sSub>
          <ns5:e>
            <ns5:r>
              <ns5:t>w</ns5:t>
            </ns5:r>
          </ns5:e>
          <ns5:sub>
            <ns5:r>
              <ns5:t>j</ns5:t>
            </ns5:r>
          </ns5:sub>
        </ns5:sSub>
      </ns5:oMath>
      <w:r>
        <w:t xml:space="preserve">, lautet ihre Dichtehöhe</w:t>
      </w:r>
    </w:p>
    <w:p>
      <w:pPr>
        <w:pStyle w:val="BodyText"/>
      </w:pPr>
      <ns5:oMathPara>
        <ns5:oMathParaPr>
          <ns5:jc ns5:val="center"/>
        </ns5:oMathParaPr>
        <ns5:oMath>
          <ns5:sSub>
            <ns5:e>
              <ns5:r>
                <ns5:t>h</ns5:t>
              </ns5:r>
            </ns5:e>
            <ns5:sub>
              <ns5:r>
                <ns5:t>j</ns5:t>
              </ns5:r>
            </ns5:sub>
          </ns5:sSub>
          <ns5:r>
            <ns5:rPr>
              <ns5:sty ns5:val="p"/>
            </ns5:rPr>
            <ns5:t>=</ns5:t>
          </ns5:r>
          <ns5:f>
            <ns5:fPr>
              <ns5:type ns5:val="bar"/>
            </ns5:fPr>
            <ns5:num>
              <ns5:sSub>
                <ns5:e>
                  <ns5:r>
                    <ns5:t>f</ns5:t>
                  </ns5:r>
                </ns5:e>
                <ns5:sub>
                  <ns5:r>
                    <ns5:t>j</ns5:t>
                  </ns5:r>
                </ns5:sub>
              </ns5:sSub>
            </ns5:num>
            <ns5:den>
              <ns5:sSub>
                <ns5:e>
                  <ns5:r>
                    <ns5:t>w</ns5:t>
                  </ns5:r>
                </ns5:e>
                <ns5:sub>
                  <ns5:r>
                    <ns5:t>j</ns5:t>
                  </ns5:r>
                </ns5:sub>
              </ns5:sSub>
            </ns5:den>
          </ns5:f>
          <ns5:r>
            <ns5:rPr>
              <ns5:sty ns5:val="p"/>
            </ns5:rPr>
            <ns5:t>.</ns5:t>
          </ns5:r>
        </ns5:oMath>
      </ns5:oMathPara>
    </w:p>
    <w:p>
      <w:pPr>
        <w:pStyle w:val="FirstParagraph"/>
      </w:pPr>
      <w:r>
        <w:t xml:space="preserve">Die Balkenfläche ist dann</w:t>
      </w:r>
      <w:r>
        <w:t xml:space="preserve"> </w:t>
      </w:r>
      <ns5:oMath>
        <ns5:sSub>
          <ns5:e>
            <ns5:r>
              <ns5:t>h</ns5:t>
            </ns5:r>
          </ns5:e>
          <ns5:sub>
            <ns5:r>
              <ns5:t>j</ns5:t>
            </ns5:r>
          </ns5:sub>
        </ns5:sSub>
        <ns5:sSub>
          <ns5:e>
            <ns5:r>
              <ns5:t>w</ns5:t>
            </ns5:r>
          </ns5:e>
          <ns5:sub>
            <ns5:r>
              <ns5:t>j</ns5:t>
            </ns5:r>
          </ns5:sub>
        </ns5:sSub>
        <ns5:r>
          <ns5:rPr>
            <ns5:sty ns5:val="p"/>
          </ns5:rPr>
          <ns5:t>=</ns5:t>
        </ns5:r>
        <ns5:sSub>
          <ns5:e>
            <ns5:r>
              <ns5:t>f</ns5:t>
            </ns5:r>
          </ns5:e>
          <ns5:sub>
            <ns5:r>
              <ns5:t>j</ns5:t>
            </ns5:r>
          </ns5:sub>
        </ns5:sSub>
      </ns5:oMath>
      <w:r>
        <w:t xml:space="preserve">. Bei gleich breiten Klassen kann die Höhe die Häufigkeit direkt wiedergeben. Bei ungleichen Klassenbreiten werden Dichtehöhen benötigt, damit weiterhin die Fläche und nicht allein die Höhe die Häufigkeit darstellt.</w:t>
      </w:r>
    </w:p>
    <w:bookmarkEnd w:id="45"/>
    <w:bookmarkStart w:id="50"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9" w:name="fig-summary-t01"/>
          <w:p>
            <w:pPr>
              <w:pStyle w:val="Compact"/>
              <w:keepNext/>
              <w:jc w:val="center"/>
            </w:pPr>
            <w:r>
              <w:drawing>
                <ns1:inline>
                  <ns1:extent cx="5561584" cy="3283344"/>
                  <ns1:effectExtent b="0" l="0" r="0" t="0"/>
                  <ns1:docPr descr="Histogramm simulierter Prüfungsangstwerte von null bis vierzig, mit den höchsten Balken nahe der Mitte und schmaler besetzten Rändern an beiden Enden." title="Abbildung 1" id="47" name="Picture"/>
                  <ns2:graphic>
                    <ns2:graphicData uri="http://schemas.openxmlformats.org/drawingml/2006/picture">
                      <ns3:pic>
                        <ns3:nvPicPr>
                          <ns3:cNvPr descr="assets/topic-01-descriptive-statistics-summary-figure-de.png" id="48" name="Picture"/>
                          <ns3:cNvPicPr>
                            <ns2:picLocks noChangeArrowheads="1" noChangeAspect="1"/>
                          </ns3:cNvPicPr>
                        </ns3:nvPicPr>
                        <ns3:blipFill>
                          <ns2:blip ns4:embed="rId46"/>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Histogramm simulierter Prüfungsangstwerte von null bis vierzig, mit den höchsten Balken nahe der Mitte und schmaler besetzten Rändern an beiden Enden.</w:t>
            </w:r>
          </w:p>
          <w:bookmarkEnd w:id="49"/>
        </w:tc>
      </w:tr>
    </w:tbl>
    <w:p>
      <w:pPr>
        <w:pStyle w:val="BodyText"/>
      </w:pPr>
      <w:r>
        <w:t xml:space="preserve">Lies zuerst die horizontale Achse. Sie zeigt Prüfungsangstwerte auf einer Skala von 0 bis 40. Die vertikale Achse gibt die Anzahl der Studierenden an. Die Höhe jedes Balkens entspricht somit einer Häufigkeit. Die Balken bei Werten zwischen 18 und 22 sind am höchsten. Die grösste Häufung liegt also nahe der Skalenmitte. An den unteren und oberen Enden finden sich weniger Beobachtungen. Ein Balken nahe bei 40 zeigt, dass mindestens ein hoher Wert vorhanden ist. Aus der Grafik allein lässt sich jedoch nicht erkennen, ob dieser Wert fehlerhaft ist. Bevor du dies beurteilst, müsstest du zur Datendefinition und zum Erfassungsvorgang zurückkehren.</w:t>
      </w:r>
    </w:p>
    <w:p>
      <w:pPr>
        <w:pStyle w:val="BodyText"/>
      </w:pPr>
      <w:r>
        <w:t xml:space="preserve">Die Balken berühren sich, weil eine numerische Skala über benachbarte Intervalle hinweg stetig verläuft. Auch ihre Breite ist wichtig: Andere Intervallgrenzen können dieselben Beobachtungen mehr oder weniger detailliert erscheinen lassen. Die Abbildung ist deshalb als Ansicht einer einzigen Verteilung zu lesen und nicht als Ansammlung getrennter Kategorien. Sie stützt Aussagen über Lage, Streuung, Form und ungewöhnliche Beobachtungen. Sie zeigt weder eine Ursache von Prüfungsangst noch einen Vergleich zwischen Grundgesamtheiten. Ebenso belegt sie nicht, dass dieses simulierte Muster bei realen Studierenden vorkommt.</w:t>
      </w:r>
    </w:p>
    <w:bookmarkEnd w:id="50"/>
    <w:bookmarkStart w:id="51" w:name="checkliste-zur-interpretation"/>
    <w:p>
      <w:pPr>
        <w:pStyle w:val="Heading2"/>
      </w:pPr>
      <w:r>
        <w:t xml:space="preserve">Checkliste zur Interpretation</w:t>
      </w:r>
    </w:p>
    <w:p>
      <w:pPr>
        <w:pStyle w:val="FirstParagraph"/>
      </w:pPr>
      <w:r>
        <w:t xml:space="preserve">Beginne jede deskriptive Beschreibung mit den Fällen, der Variable, ihrem Skalenniveau und dem gültigen Wertebereich. Gib die Anzahl der gültigen und fehlenden Beobachtungen an. Berichte bei einer kategorialen Variable die Häufigkeiten zusammen mit dem Nenner und den Anteilen. Verbinde bei einer numerischen Variable eine Grafik mit Kennwerten der Lage und Streuung. Verwende Mittelwert und Standardabweichung, wenn sie zur Verteilung passen. Untersuche zusätzlich Median und Interquartilsabstand, wenn Schiefe oder ungewöhnliche Beobachtungen eine Rolle spielen.</w:t>
      </w:r>
    </w:p>
    <w:p>
      <w:pPr>
        <w:pStyle w:val="BodyText"/>
      </w:pPr>
      <w:r>
        <w:t xml:space="preserve">Halte die Masseinheit sichtbar. Eine Standardabweichung von fünf Punkten bedeutet etwas anderes als fünf Stunden. Bezeichne eine Gruppe nicht ohne einen sinnvollen Vergleich als homogen oder variabel. Prüfe, ob sich eine gerundete Tabelle noch zur erwarteten Gesamtsumme addiert. Kennzeichne simulierte Daten als simuliert. Trenne schliesslich Beschreibung und Erklärung: Ein Muster in den beobachteten Werten zeigt, was der Datensatz enthält. Eine kausale Erklärung erfordert dagegen ein geeignetes Forschungsdesign und Überlegungen, die über die deskriptive Statistik hinausgehen.</w:t>
      </w:r>
    </w:p>
    <w:bookmarkEnd w:id="51"/>
    <w:bookmarkStart w:id="52" w:name="verbindung-zu-anderen-themen"/>
    <w:p>
      <w:pPr>
        <w:pStyle w:val="Heading2"/>
      </w:pPr>
      <w:r>
        <w:t xml:space="preserve">Verbindung zu anderen Themen</w:t>
      </w:r>
    </w:p>
    <w:p>
      <w:pPr>
        <w:pStyle w:val="FirstParagraph"/>
      </w:pPr>
      <w:r>
        <w:t xml:space="preserve">Die deskriptive Statistik stellt die Sprache bereit, die in der gesamten Lernsequenz verwendet wird. Die Wahrscheinlichkeitsrechnung ergänzt Regeln für das Denken über unsichere Ergebnisse. Die statistische Inferenz verwendet anschliessend eine Stichprobe und ihre Streuung, um vorsichtige Aussagen über eine Grundgesamtheit zu machen. Kovarianz und Korrelation fragen, wie zwei Variablen gemeinsam variieren. Die Regression beschreibt eine Zielvariable als Funktion eines oder mehrerer Prädiktoren, während die partielle Korrelation einen Zusammenhang nach linearer Bereinigung untersucht. Die Varianzanalyse vergleicht Gruppenmittelwerte, indem sie die Gesamtvariation in inhaltlich bedeutsame Bestandteile zerlegt.</w:t>
      </w:r>
    </w:p>
    <w:p>
      <w:pPr>
        <w:pStyle w:val="BodyText"/>
      </w:pPr>
      <w:r>
        <w:t xml:space="preserve">Die zentrale Gewohnheit bleibt dabei unverändert: Verstehe die Variablen, untersuche die Verteilung, berechne einen passenden Kennwert und interpretiere ihn im Kontext. Spätere Verfahren ergänzen Unsicherheit und Modelle. Sie ersetzen jedoch nie die verlässliche Beschreibung der Daten, die in die Analyse eingegangen sind.</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topic-01-descriptive-statistics-summary-de</w:t>
      </w:r>
    </w:p>
    <w:p>
      <w:r>
        <w:br w:type="page"/>
      </w:r>
    </w:p>
    <w:p>
      <w:pPr>
        <w:pStyle w:val="Heading1"/>
      </w:pPr>
      <w:r>
        <w:t>Notizen 1 von 3</w:t>
      </w:r>
    </w:p>
    <w:p>
      <w:r>
        <w:rPr>
          <w:color w:val="526A79"/>
          <w:sz w:val="18"/>
          <w:szCs w:val="18"/>
        </w:rPr>
        <w:t>Deskriptive Statistik | Thema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Deskriptive Statistik | Thema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Deskriptive Statistik | Thema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52"/>
    <w:bookmarkEnd w:id="53"/>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Deskriptive Statistik</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Ein verständlicher Wegweiser zu Variablen, Verteilungen und numerischen Kennwerten</vt:lpwstr>
  </property>
  <property fmtid="{D5CDD505-2E9C-101B-9397-08002B2CF9AE}" pid="13" name="toc-title">
    <vt:lpwstr>Inhaltsverzeichnis</vt:lpwstr>
  </property>
</Properties>
</file>