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Kovarianz und Korrelation</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42" w:name="teil-i-theorie"/>
    <w:p>
      <w:pPr>
        <w:pStyle w:val="Heading1"/>
      </w:pPr>
      <w:r>
        <w:t xml:space="preserve">Teil I: Theorie</w:t>
      </w:r>
    </w:p>
    <w:bookmarkStart w:id="30" w:name="X913e195dc993928ae49982b7bc46b7c2b37d06c"/>
    <w:p>
      <w:pPr>
        <w:pStyle w:val="Heading2"/>
      </w:pPr>
      <w:r>
        <w:t xml:space="preserve">A02: Drittvariablen und die Grenze kausaler Aussagen</w:t>
      </w:r>
    </w:p>
    <w:bookmarkStart w:id="20" w:name="X016558253251c737b05114285d34d4f8d1055e0"/>
    <w:p>
      <w:pPr>
        <w:pStyle w:val="Heading3"/>
      </w:pPr>
      <w:r>
        <w:rPr>
          <w:rStyle w:val="VerbatimChar"/>
        </w:rPr>
        <w:t xml:space="preserve">T04-A02-V01</w:t>
      </w:r>
      <w:r>
        <w:t xml:space="preserve">: Bibliotheksbesuche und Kursnoten</w:t>
      </w:r>
    </w:p>
    <w:p>
      <w:pPr>
        <w:pStyle w:val="FirstParagraph"/>
      </w:pPr>
      <w:r>
        <w:rPr>
          <w:b/>
          <w:bCs/>
        </w:rPr>
        <w:t xml:space="preserve">Fragestellung bestimmen</w:t>
      </w:r>
    </w:p>
    <w:p>
      <w:pPr>
        <w:pStyle w:val="BodyText"/>
      </w:pPr>
      <w:r>
        <w:t xml:space="preserve">Ein plausibles Diagramm setzt die Drittvariable «Lernmotivation und Arbeitsbelastung im Kurs» zeitlich vor die zwei interessierenden Variablen.</w:t>
      </w:r>
    </w:p>
    <w:p>
      <w:pPr>
        <w:pStyle w:val="BodyText"/>
      </w:pPr>
      <w:r>
        <w:t xml:space="preserve">Ein Pfeil führt zu «wöchentliche Bibliotheksbesuche», ein zweiter zu «Kursnoten».</w:t>
      </w:r>
    </w:p>
    <w:p>
      <w:pPr>
        <w:pStyle w:val="BodyText"/>
      </w:pPr>
      <w:r>
        <w:rPr>
          <w:b/>
          <w:bCs/>
        </w:rPr>
        <w:t xml:space="preserve">Evidenz schrittweise beurteilen</w:t>
      </w:r>
    </w:p>
    <w:p>
      <w:pPr>
        <w:pStyle w:val="BodyText"/>
      </w:pPr>
      <w:r>
        <w:t xml:space="preserve">Der angenommene Mechanismus lautet: Motivierte Lernende besuchen möglicherweise häufiger die Bibliothek und lernen zugleich wirkungsvoller.</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wichtige Lerngewohnheiten vorausschauend erfassen und den bereinigten Zusammenhang nicht als kausalen Effekt bezeichnen.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0"/>
    <w:bookmarkStart w:id="21" w:name="X4c573d0969588a9df5aa38e35e202f4765e4fa7"/>
    <w:p>
      <w:pPr>
        <w:pStyle w:val="Heading3"/>
      </w:pPr>
      <w:r>
        <w:rPr>
          <w:rStyle w:val="VerbatimChar"/>
        </w:rPr>
        <w:t xml:space="preserve">T04-A02-V02</w:t>
      </w:r>
      <w:r>
        <w:t xml:space="preserve">: Parkzugang und Vertrauen im Wohnquartier</w:t>
      </w:r>
    </w:p>
    <w:p>
      <w:pPr>
        <w:pStyle w:val="FirstParagraph"/>
      </w:pPr>
      <w:r>
        <w:rPr>
          <w:b/>
          <w:bCs/>
        </w:rPr>
        <w:t xml:space="preserve">Fragestellung bestimmen</w:t>
      </w:r>
    </w:p>
    <w:p>
      <w:pPr>
        <w:pStyle w:val="BodyText"/>
      </w:pPr>
      <w:r>
        <w:t xml:space="preserve">Ein plausibles Diagramm setzt die Drittvariable «Einkommen im Wohnquartier und öffentliche Investitionen» zeitlich vor die zwei interessierenden Variablen.</w:t>
      </w:r>
    </w:p>
    <w:p>
      <w:pPr>
        <w:pStyle w:val="BodyText"/>
      </w:pPr>
      <w:r>
        <w:t xml:space="preserve">Ein Pfeil führt zu «nahe gelegene Parkflächen», ein zweiter zu «durchschnittliches Vertrauen».</w:t>
      </w:r>
    </w:p>
    <w:p>
      <w:pPr>
        <w:pStyle w:val="BodyText"/>
      </w:pPr>
      <w:r>
        <w:rPr>
          <w:b/>
          <w:bCs/>
        </w:rPr>
        <w:t xml:space="preserve">Evidenz schrittweise beurteilen</w:t>
      </w:r>
    </w:p>
    <w:p>
      <w:pPr>
        <w:pStyle w:val="BodyText"/>
      </w:pPr>
      <w:r>
        <w:t xml:space="preserve">Der angenommene Mechanismus lautet: besser ausgestattete Quartiere können sowohl Parks als auch vertrauensfördernde Dienstleistungen erhalten.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Veränderungen rund um geplante Parkeröffnungen mit vergleichbaren Quartieren und Messungen bei den Bewohnenden untersuchen.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1"/>
    <w:bookmarkStart w:id="22" w:name="Xd14320fbb1fdfa5c231b497d978eb51462dceb9"/>
    <w:p>
      <w:pPr>
        <w:pStyle w:val="Heading3"/>
      </w:pPr>
      <w:r>
        <w:rPr>
          <w:rStyle w:val="VerbatimChar"/>
        </w:rPr>
        <w:t xml:space="preserve">T04-A02-V03</w:t>
      </w:r>
      <w:r>
        <w:t xml:space="preserve">: Remote-Arbeit und Freiwilligenstunden</w:t>
      </w:r>
    </w:p>
    <w:p>
      <w:pPr>
        <w:pStyle w:val="FirstParagraph"/>
      </w:pPr>
      <w:r>
        <w:rPr>
          <w:b/>
          <w:bCs/>
        </w:rPr>
        <w:t xml:space="preserve">Fragestellung bestimmen</w:t>
      </w:r>
    </w:p>
    <w:p>
      <w:pPr>
        <w:pStyle w:val="BodyText"/>
      </w:pPr>
      <w:r>
        <w:t xml:space="preserve">Ein plausibles Diagramm setzt die Drittvariable «zeitliche Flexibilität und Beruf» zeitlich vor die zwei interessierenden Variablen.</w:t>
      </w:r>
    </w:p>
    <w:p>
      <w:pPr>
        <w:pStyle w:val="BodyText"/>
      </w:pPr>
      <w:r>
        <w:t xml:space="preserve">Ein Pfeil führt zu «Häufigkeit von Remote-Arbeit», ein zweiter zu «Freiwilligenstunden».</w:t>
      </w:r>
    </w:p>
    <w:p>
      <w:pPr>
        <w:pStyle w:val="BodyText"/>
      </w:pPr>
      <w:r>
        <w:rPr>
          <w:b/>
          <w:bCs/>
        </w:rPr>
        <w:t xml:space="preserve">Evidenz schrittweise beurteilen</w:t>
      </w:r>
    </w:p>
    <w:p>
      <w:pPr>
        <w:pStyle w:val="BodyText"/>
      </w:pPr>
      <w:r>
        <w:t xml:space="preserve">Der angenommene Mechanismus lautet: flexible Berufe können sowohl Remote-Arbeit als auch Freiwilligenarbeit ermöglichen.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die zeitliche Reihenfolge messen und eine glaubwürdige politische Vergleichssituation oder, wenn möglich, zufällig vergebenen Zugang nutzen.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2"/>
    <w:bookmarkStart w:id="23" w:name="X84f35acb3489e5af52e55cf1eccf4471c7ccd38"/>
    <w:p>
      <w:pPr>
        <w:pStyle w:val="Heading3"/>
      </w:pPr>
      <w:r>
        <w:rPr>
          <w:rStyle w:val="VerbatimChar"/>
        </w:rPr>
        <w:t xml:space="preserve">T04-A02-V04</w:t>
      </w:r>
      <w:r>
        <w:t xml:space="preserve">: Museumsmitgliedschaft und kulturelle Teilhabe</w:t>
      </w:r>
    </w:p>
    <w:p>
      <w:pPr>
        <w:pStyle w:val="FirstParagraph"/>
      </w:pPr>
      <w:r>
        <w:rPr>
          <w:b/>
          <w:bCs/>
        </w:rPr>
        <w:t xml:space="preserve">Fragestellung bestimmen</w:t>
      </w:r>
    </w:p>
    <w:p>
      <w:pPr>
        <w:pStyle w:val="BodyText"/>
      </w:pPr>
      <w:r>
        <w:t xml:space="preserve">Ein plausibles Diagramm setzt die Drittvariable «früheres Interesse an kulturellen Aktivitäten» zeitlich vor die zwei interessierenden Variablen.</w:t>
      </w:r>
    </w:p>
    <w:p>
      <w:pPr>
        <w:pStyle w:val="BodyText"/>
      </w:pPr>
      <w:r>
        <w:t xml:space="preserve">Ein Pfeil führt zu «Museumsmitgliedschaft», ein zweiter zu «Besuche kultureller Veranstaltungen».</w:t>
      </w:r>
    </w:p>
    <w:p>
      <w:pPr>
        <w:pStyle w:val="BodyText"/>
      </w:pPr>
      <w:r>
        <w:rPr>
          <w:b/>
          <w:bCs/>
        </w:rPr>
        <w:t xml:space="preserve">Evidenz schrittweise beurteilen</w:t>
      </w:r>
    </w:p>
    <w:p>
      <w:pPr>
        <w:pStyle w:val="BodyText"/>
      </w:pPr>
      <w:r>
        <w:t xml:space="preserve">Der angenommene Mechanismus lautet: bestehendes Interesse kann sowohl zur Mitgliedschaft als auch zu mehr Veranstaltungsbesuchen führen.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das Ausgangsinteresse messen und Vorhersage klar von einem Effekt der Mitgliedschaft unterscheiden.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3"/>
    <w:bookmarkStart w:id="24" w:name="X0df09d10a45484eb375c2a4b00a453b6884481e"/>
    <w:p>
      <w:pPr>
        <w:pStyle w:val="Heading3"/>
      </w:pPr>
      <w:r>
        <w:rPr>
          <w:rStyle w:val="VerbatimChar"/>
        </w:rPr>
        <w:t xml:space="preserve">T04-A02-V05</w:t>
      </w:r>
      <w:r>
        <w:t xml:space="preserve">: Velowege und Besuche im Detailhandel</w:t>
      </w:r>
    </w:p>
    <w:p>
      <w:pPr>
        <w:pStyle w:val="FirstParagraph"/>
      </w:pPr>
      <w:r>
        <w:rPr>
          <w:b/>
          <w:bCs/>
        </w:rPr>
        <w:t xml:space="preserve">Fragestellung bestimmen</w:t>
      </w:r>
    </w:p>
    <w:p>
      <w:pPr>
        <w:pStyle w:val="BodyText"/>
      </w:pPr>
      <w:r>
        <w:t xml:space="preserve">Ein plausibles Diagramm setzt die Drittvariable «Zentralität der Strasse und Zusammensetzung der Geschäfte» zeitlich vor die zwei interessierenden Variablen.</w:t>
      </w:r>
    </w:p>
    <w:p>
      <w:pPr>
        <w:pStyle w:val="BodyText"/>
      </w:pPr>
      <w:r>
        <w:t xml:space="preserve">Ein Pfeil führt zu «geschützte Veloinfrastruktur», ein zweiter zu «Wochenendbesuche in Geschäften».</w:t>
      </w:r>
    </w:p>
    <w:p>
      <w:pPr>
        <w:pStyle w:val="BodyText"/>
      </w:pPr>
      <w:r>
        <w:rPr>
          <w:b/>
          <w:bCs/>
        </w:rPr>
        <w:t xml:space="preserve">Evidenz schrittweise beurteilen</w:t>
      </w:r>
    </w:p>
    <w:p>
      <w:pPr>
        <w:pStyle w:val="BodyText"/>
      </w:pPr>
      <w:r>
        <w:t xml:space="preserve">Der angenommene Mechanismus lautet: zentrale Strassen können aus verschiedenen Gründen sowohl Infrastruktur als auch viele Besuchende anziehen.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wiederholte Vorher-Nachher-Zählungen auf behandelten und vergleichbaren unbehandelten Strassen verwenden.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4"/>
    <w:bookmarkStart w:id="25" w:name="X39413ad4038e222640c442ef1eeb223039ce623"/>
    <w:p>
      <w:pPr>
        <w:pStyle w:val="Heading3"/>
      </w:pPr>
      <w:r>
        <w:rPr>
          <w:rStyle w:val="VerbatimChar"/>
        </w:rPr>
        <w:t xml:space="preserve">T04-A02-V06</w:t>
      </w:r>
      <w:r>
        <w:t xml:space="preserve">: Verfügbarkeit von Untertiteln und Kursabschluss</w:t>
      </w:r>
    </w:p>
    <w:p>
      <w:pPr>
        <w:pStyle w:val="FirstParagraph"/>
      </w:pPr>
      <w:r>
        <w:rPr>
          <w:b/>
          <w:bCs/>
        </w:rPr>
        <w:t xml:space="preserve">Fragestellung bestimmen</w:t>
      </w:r>
    </w:p>
    <w:p>
      <w:pPr>
        <w:pStyle w:val="BodyText"/>
      </w:pPr>
      <w:r>
        <w:t xml:space="preserve">Ein plausibles Diagramm setzt die Drittvariable «Produktionsqualität und Fachgebiet des Kurses» zeitlich vor die zwei interessierenden Variablen.</w:t>
      </w:r>
    </w:p>
    <w:p>
      <w:pPr>
        <w:pStyle w:val="BodyText"/>
      </w:pPr>
      <w:r>
        <w:t xml:space="preserve">Ein Pfeil führt zu «Verfügbarkeit von Untertiteln», ein zweiter zu «Kursabschluss».</w:t>
      </w:r>
    </w:p>
    <w:p>
      <w:pPr>
        <w:pStyle w:val="BodyText"/>
      </w:pPr>
      <w:r>
        <w:rPr>
          <w:b/>
          <w:bCs/>
        </w:rPr>
        <w:t xml:space="preserve">Evidenz schrittweise beurteilen</w:t>
      </w:r>
    </w:p>
    <w:p>
      <w:pPr>
        <w:pStyle w:val="BodyText"/>
      </w:pPr>
      <w:r>
        <w:t xml:space="preserve">Der angenommene Mechanismus lautet: besser finanzierte Kurse können sowohl Untertitel als auch stärkere Lernunterstützung anbieten.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ansonsten ähnliche Kurse vergleichen oder die schrittweise Einführung von Untertiteln zufällig festlegen.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5"/>
    <w:bookmarkStart w:id="26" w:name="X448cbf123062dba0dcbd081bd137e06c8072735"/>
    <w:p>
      <w:pPr>
        <w:pStyle w:val="Heading3"/>
      </w:pPr>
      <w:r>
        <w:rPr>
          <w:rStyle w:val="VerbatimChar"/>
        </w:rPr>
        <w:t xml:space="preserve">T04-A02-V07</w:t>
      </w:r>
      <w:r>
        <w:t xml:space="preserve">: Gartenparzellen und Wohlbefinden</w:t>
      </w:r>
    </w:p>
    <w:p>
      <w:pPr>
        <w:pStyle w:val="FirstParagraph"/>
      </w:pPr>
      <w:r>
        <w:rPr>
          <w:b/>
          <w:bCs/>
        </w:rPr>
        <w:t xml:space="preserve">Fragestellung bestimmen</w:t>
      </w:r>
    </w:p>
    <w:p>
      <w:pPr>
        <w:pStyle w:val="BodyText"/>
      </w:pPr>
      <w:r>
        <w:t xml:space="preserve">Ein plausibles Diagramm setzt die Drittvariable «Ausgangsgesundheit und soziale Einbindung» zeitlich vor die zwei interessierenden Variablen.</w:t>
      </w:r>
    </w:p>
    <w:p>
      <w:pPr>
        <w:pStyle w:val="BodyText"/>
      </w:pPr>
      <w:r>
        <w:t xml:space="preserve">Ein Pfeil führt zu «Teilnahme an einem Gemeinschaftsgarten», ein zweiter zu «Wohlbefinden».</w:t>
      </w:r>
    </w:p>
    <w:p>
      <w:pPr>
        <w:pStyle w:val="BodyText"/>
      </w:pPr>
      <w:r>
        <w:rPr>
          <w:b/>
          <w:bCs/>
        </w:rPr>
        <w:t xml:space="preserve">Evidenz schrittweise beurteilen</w:t>
      </w:r>
    </w:p>
    <w:p>
      <w:pPr>
        <w:pStyle w:val="BodyText"/>
      </w:pPr>
      <w:r>
        <w:t xml:space="preserve">Der angenommene Mechanismus lautet: gesündere oder stärker eingebundene Personen erhalten und nutzen möglicherweise eher eine Parzelle.</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das Wohlbefinden vor der Vergabe messen und zufällige Parzellenangebote nutzen, wenn die Nachfrage das Angebot übersteigt.</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6"/>
    <w:bookmarkStart w:id="27" w:name="Xff17ba6ec5688efe104cc1384be4adf6ec0dea5"/>
    <w:p>
      <w:pPr>
        <w:pStyle w:val="Heading3"/>
      </w:pPr>
      <w:r>
        <w:rPr>
          <w:rStyle w:val="VerbatimChar"/>
        </w:rPr>
        <w:t xml:space="preserve">T04-A02-V08</w:t>
      </w:r>
      <w:r>
        <w:t xml:space="preserve">: Nutzung des öffentlichen Verkehrs und tägliche Aktivität</w:t>
      </w:r>
    </w:p>
    <w:p>
      <w:pPr>
        <w:pStyle w:val="FirstParagraph"/>
      </w:pPr>
      <w:r>
        <w:rPr>
          <w:b/>
          <w:bCs/>
        </w:rPr>
        <w:t xml:space="preserve">Fragestellung bestimmen</w:t>
      </w:r>
    </w:p>
    <w:p>
      <w:pPr>
        <w:pStyle w:val="BodyText"/>
      </w:pPr>
      <w:r>
        <w:t xml:space="preserve">Ein plausibles Diagramm setzt die Drittvariable «städtische Dichte und Zugang zu einem Auto» zeitlich vor die zwei interessierenden Variablen.</w:t>
      </w:r>
    </w:p>
    <w:p>
      <w:pPr>
        <w:pStyle w:val="BodyText"/>
      </w:pPr>
      <w:r>
        <w:t xml:space="preserve">Ein Pfeil führt zu «Nutzung des öffentlichen Verkehrs», ein zweiter zu «tägliche Schrittzahl».</w:t>
      </w:r>
    </w:p>
    <w:p>
      <w:pPr>
        <w:pStyle w:val="BodyText"/>
      </w:pPr>
      <w:r>
        <w:rPr>
          <w:b/>
          <w:bCs/>
        </w:rPr>
        <w:t xml:space="preserve">Evidenz schrittweise beurteilen</w:t>
      </w:r>
    </w:p>
    <w:p>
      <w:pPr>
        <w:pStyle w:val="BodyText"/>
      </w:pPr>
      <w:r>
        <w:t xml:space="preserve">Der angenommene Mechanismus lautet: dichte Wohngebiete können sowohl die Nutzung des öffentlichen Verkehrs als auch das Gehen fördern.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Informationen zu Wohngebiet und Mobilität erheben und Längsschnittdaten oder Änderungen der Verkehrspolitik untersuchen.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7"/>
    <w:bookmarkStart w:id="28" w:name="X3a4cafa5f00cffb2f3b5fe2eeff1fdfac0728a7"/>
    <w:p>
      <w:pPr>
        <w:pStyle w:val="Heading3"/>
      </w:pPr>
      <w:r>
        <w:rPr>
          <w:rStyle w:val="VerbatimChar"/>
        </w:rPr>
        <w:t xml:space="preserve">T04-A02-V09</w:t>
      </w:r>
      <w:r>
        <w:t xml:space="preserve">: Musikunterricht und Gedächtnis</w:t>
      </w:r>
    </w:p>
    <w:p>
      <w:pPr>
        <w:pStyle w:val="FirstParagraph"/>
      </w:pPr>
      <w:r>
        <w:rPr>
          <w:b/>
          <w:bCs/>
        </w:rPr>
        <w:t xml:space="preserve">Fragestellung bestimmen</w:t>
      </w:r>
    </w:p>
    <w:p>
      <w:pPr>
        <w:pStyle w:val="BodyText"/>
      </w:pPr>
      <w:r>
        <w:t xml:space="preserve">Ein plausibles Diagramm setzt die Drittvariable «familiäre Ressourcen und Bildungsunterstützung» zeitlich vor die zwei interessierenden Variablen.</w:t>
      </w:r>
    </w:p>
    <w:p>
      <w:pPr>
        <w:pStyle w:val="BodyText"/>
      </w:pPr>
      <w:r>
        <w:t xml:space="preserve">Ein Pfeil führt zu «Jahre mit Musikunterricht», ein zweiter zu «Gedächtniswert».</w:t>
      </w:r>
    </w:p>
    <w:p>
      <w:pPr>
        <w:pStyle w:val="BodyText"/>
      </w:pPr>
      <w:r>
        <w:rPr>
          <w:b/>
          <w:bCs/>
        </w:rPr>
        <w:t xml:space="preserve">Evidenz schrittweise beurteilen</w:t>
      </w:r>
    </w:p>
    <w:p>
      <w:pPr>
        <w:pStyle w:val="BodyText"/>
      </w:pPr>
      <w:r>
        <w:t xml:space="preserve">Der angenommene Mechanismus lautet: Ressourcen können sowohl den Zugang zu Musikunterricht als auch kognitive Lerngelegenheiten beeinflussen.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Ausgangswerte und relevante familiäre Bedingungen messen oder zufällig vergebenen Zugang zu Musikunterricht untersuchen.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8"/>
    <w:bookmarkStart w:id="29" w:name="X8a1d4b12c42ed6100822155d960c267dc7cf751"/>
    <w:p>
      <w:pPr>
        <w:pStyle w:val="Heading3"/>
      </w:pPr>
      <w:r>
        <w:rPr>
          <w:rStyle w:val="VerbatimChar"/>
        </w:rPr>
        <w:t xml:space="preserve">T04-A02-V10</w:t>
      </w:r>
      <w:r>
        <w:t xml:space="preserve">: Online-Diskussionen und Prüfungsleistung</w:t>
      </w:r>
    </w:p>
    <w:p>
      <w:pPr>
        <w:pStyle w:val="FirstParagraph"/>
      </w:pPr>
      <w:r>
        <w:rPr>
          <w:b/>
          <w:bCs/>
        </w:rPr>
        <w:t xml:space="preserve">Fragestellung bestimmen</w:t>
      </w:r>
    </w:p>
    <w:p>
      <w:pPr>
        <w:pStyle w:val="BodyText"/>
      </w:pPr>
      <w:r>
        <w:t xml:space="preserve">Ein plausibles Diagramm setzt die Drittvariable «Vorwissen und Engagement» zeitlich vor die zwei interessierenden Variablen.</w:t>
      </w:r>
    </w:p>
    <w:p>
      <w:pPr>
        <w:pStyle w:val="BodyText"/>
      </w:pPr>
      <w:r>
        <w:t xml:space="preserve">Ein Pfeil führt zu «Beiträge in Online-Diskussionen», ein zweiter zu «Prüfungswert».</w:t>
      </w:r>
    </w:p>
    <w:p>
      <w:pPr>
        <w:pStyle w:val="BodyText"/>
      </w:pPr>
      <w:r>
        <w:rPr>
          <w:b/>
          <w:bCs/>
        </w:rPr>
        <w:t xml:space="preserve">Evidenz schrittweise beurteilen</w:t>
      </w:r>
    </w:p>
    <w:p>
      <w:pPr>
        <w:pStyle w:val="BodyText"/>
      </w:pPr>
      <w:r>
        <w:t xml:space="preserve">Der angenommene Mechanismus lautet: engagierte Studierende können sowohl mehr Beiträge schreiben als auch gründlicher für die Prüfung lernen.</w:t>
      </w:r>
    </w:p>
    <w:p>
      <w:pPr>
        <w:pStyle w:val="BodyText"/>
      </w:pPr>
      <w:r>
        <w:t xml:space="preserve">Der berichtete Koeffizient beschreibt den linearen Zusammenhang der zwei gemessenen Variablen in der Stichprobe.</w:t>
      </w:r>
    </w:p>
    <w:p>
      <w:pPr>
        <w:pStyle w:val="BodyText"/>
      </w:pPr>
      <w:r>
        <w:t xml:space="preserve">Er bestimmt weder die Wirkungsrichtung noch schliesst er gemeinsame Ursachen aus oder belegt einen kausalen Effekt.</w:t>
      </w:r>
    </w:p>
    <w:p>
      <w:pPr>
        <w:pStyle w:val="BodyText"/>
      </w:pPr>
      <w:r>
        <w:rPr>
          <w:b/>
          <w:bCs/>
        </w:rPr>
        <w:t xml:space="preserve">Schluss und Grenzen festhalten</w:t>
      </w:r>
    </w:p>
    <w:p>
      <w:pPr>
        <w:pStyle w:val="BodyText"/>
      </w:pPr>
      <w:r>
        <w:t xml:space="preserve">Ein stärkerer Ansatz würde frühere Leistungen messen und eine geplante Ermutigung oder einen anderen glaubwürdigen Vergleich verwenden.</w:t>
      </w:r>
    </w:p>
    <w:p>
      <w:pPr>
        <w:pStyle w:val="BodyText"/>
      </w:pPr>
      <w:r>
        <w:t xml:space="preserve">Auch nach der Bereinigung um gemessene Drittvariablen bleiben nicht gemessene Störfaktoren und Designgrenzen bestehen.</w:t>
      </w:r>
    </w:p>
    <w:p>
      <w:pPr>
        <w:pStyle w:val="BodyText"/>
      </w:pPr>
      <w:r>
        <w:t xml:space="preserve">Ohne kausal identifizierendes Design muss der Schluss modellbasiert und nicht kausal bleiben.</w:t>
      </w:r>
    </w:p>
    <w:bookmarkEnd w:id="29"/>
    <w:bookmarkEnd w:id="30"/>
    <w:bookmarkStart w:id="41" w:name="X5887788e0545d192f1224c7f8310eff6843dc12"/>
    <w:p>
      <w:pPr>
        <w:pStyle w:val="Heading2"/>
      </w:pPr>
      <w:r>
        <w:t xml:space="preserve">A07: Zusammenhänge und kausale Aussagen beurteilen</w:t>
      </w:r>
    </w:p>
    <w:bookmarkStart w:id="31" w:name="t04-a07-v01-puzzle-apps-und-navigation"/>
    <w:p>
      <w:pPr>
        <w:pStyle w:val="Heading3"/>
      </w:pPr>
      <w:r>
        <w:rPr>
          <w:rStyle w:val="VerbatimChar"/>
        </w:rPr>
        <w:t xml:space="preserve">T04-A07-V01</w:t>
      </w:r>
      <w:r>
        <w:t xml:space="preserve">: Puzzle-Apps und Navigation</w:t>
      </w:r>
    </w:p>
    <w:p>
      <w:pPr>
        <w:pStyle w:val="FirstParagraph"/>
      </w:pPr>
      <w:r>
        <w:rPr>
          <w:b/>
          <w:bCs/>
        </w:rPr>
        <w:t xml:space="preserve">Fragestellung bestimmen</w:t>
      </w:r>
    </w:p>
    <w:p>
      <w:pPr>
        <w:pStyle w:val="BodyText"/>
      </w:pPr>
      <w:r>
        <w:t xml:space="preserve">Die Beobachtungseinheiten und die Aussageebene sind: einzelne Befragte; beide Variablen wurden auf Personenebene erfasst.</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Selbstselektion, Selbstauskunft, unklare zeitliche Reihenfolge sowie Unterschiede in Alter oder früherem räumlichem Interesse.</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die Navigation zu Beginn und später objektiv messen und den Zugang zu vergleichbaren Aktivitäten nach Möglichkeit zufällig zuweisen.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1"/>
    <w:bookmarkStart w:id="32" w:name="X7e12a386aa88e0a2fc1e5cc6a850c42d0d3441d"/>
    <w:p>
      <w:pPr>
        <w:pStyle w:val="Heading3"/>
      </w:pPr>
      <w:r>
        <w:rPr>
          <w:rStyle w:val="VerbatimChar"/>
        </w:rPr>
        <w:t xml:space="preserve">T04-A07-V02</w:t>
      </w:r>
      <w:r>
        <w:t xml:space="preserve">: Parks und individuelles Vertrauen</w:t>
      </w:r>
    </w:p>
    <w:p>
      <w:pPr>
        <w:pStyle w:val="FirstParagraph"/>
      </w:pPr>
      <w:r>
        <w:rPr>
          <w:b/>
          <w:bCs/>
        </w:rPr>
        <w:t xml:space="preserve">Fragestellung bestimmen</w:t>
      </w:r>
    </w:p>
    <w:p>
      <w:pPr>
        <w:pStyle w:val="BodyText"/>
      </w:pPr>
      <w:r>
        <w:t xml:space="preserve">Die Beobachtungseinheiten und die Aussageebene sind: Bezirke; beide Messungen wurden auf Bezirksebene zusammengefasst, bevor die Aussage auf Einzelpersonen übertragen wurde.</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der unzulässige Sprung von Bezirksmittelwerten zu Einzelpersonen, Einkommen, Dichte, Sicherheit und öffentliche Investitionen.</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wiederholte repräsentative Messungen bei Bewohnenden rund um Parkveränderungen durchführen und vergleichbare Bezirke einbeziehen.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2"/>
    <w:bookmarkStart w:id="33" w:name="Xee1dc276605a8c2c65bb13cea93a4182349d7ea"/>
    <w:p>
      <w:pPr>
        <w:pStyle w:val="Heading3"/>
      </w:pPr>
      <w:r>
        <w:rPr>
          <w:rStyle w:val="VerbatimChar"/>
        </w:rPr>
        <w:t xml:space="preserve">T04-A07-V03</w:t>
      </w:r>
      <w:r>
        <w:t xml:space="preserve">: Blaue Notizbücher und Gedächtnis</w:t>
      </w:r>
    </w:p>
    <w:p>
      <w:pPr>
        <w:pStyle w:val="FirstParagraph"/>
      </w:pPr>
      <w:r>
        <w:rPr>
          <w:b/>
          <w:bCs/>
        </w:rPr>
        <w:t xml:space="preserve">Fragestellung bestimmen</w:t>
      </w:r>
    </w:p>
    <w:p>
      <w:pPr>
        <w:pStyle w:val="BodyText"/>
      </w:pPr>
      <w:r>
        <w:t xml:space="preserve">Die Beobachtungseinheiten und die Aussageebene sind: einzelne Teilnehmende einer Online-Umfrage; Notizbuchwahl und angegebene Note wurden auf Personenebene erfasst.</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freiwillige Teilnahme, ungeprüfte Ergebnisse, Lerngewohnheiten, Unterschiede zwischen Schulen und umgekehrte zeitliche Reihenfolge.</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ansonsten gleiche Notizbuchfarben zufällig zuweisen und ein gemeinsames objektives Ergebnis messen.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3"/>
    <w:bookmarkStart w:id="34" w:name="X9b2e41b7b6db66fffb56c92367f769ea0478acd"/>
    <w:p>
      <w:pPr>
        <w:pStyle w:val="Heading3"/>
      </w:pPr>
      <w:r>
        <w:rPr>
          <w:rStyle w:val="VerbatimChar"/>
        </w:rPr>
        <w:t xml:space="preserve">T04-A07-V04</w:t>
      </w:r>
      <w:r>
        <w:t xml:space="preserve">: Remote-Arbeit und Freiwilligenarbeit</w:t>
      </w:r>
    </w:p>
    <w:p>
      <w:pPr>
        <w:pStyle w:val="FirstParagraph"/>
      </w:pPr>
      <w:r>
        <w:rPr>
          <w:b/>
          <w:bCs/>
        </w:rPr>
        <w:t xml:space="preserve">Fragestellung bestimmen</w:t>
      </w:r>
    </w:p>
    <w:p>
      <w:pPr>
        <w:pStyle w:val="BodyText"/>
      </w:pPr>
      <w:r>
        <w:t xml:space="preserve">Die Beobachtungseinheiten und die Aussageebene sind: einzelne Beschäftigte; Arbeitsform und Freiwilligenstunden wurden auf Personenebene erfasst.</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Beruf, zeitliche Flexibilität, Pendelzeit, Einkommen, Betreuungspflichten und persönliche Präferenzen.</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Ergebnisse vor und nach einer glaubwürdigen Richtlinienänderung bei vergleichbaren Beschäftigten messen.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4"/>
    <w:bookmarkStart w:id="35" w:name="t04-a07-v05-morgenmärkte-und-ernährung"/>
    <w:p>
      <w:pPr>
        <w:pStyle w:val="Heading3"/>
      </w:pPr>
      <w:r>
        <w:rPr>
          <w:rStyle w:val="VerbatimChar"/>
        </w:rPr>
        <w:t xml:space="preserve">T04-A07-V05</w:t>
      </w:r>
      <w:r>
        <w:t xml:space="preserve">: Morgenmärkte und Ernährung</w:t>
      </w:r>
    </w:p>
    <w:p>
      <w:pPr>
        <w:pStyle w:val="FirstParagraph"/>
      </w:pPr>
      <w:r>
        <w:rPr>
          <w:b/>
          <w:bCs/>
        </w:rPr>
        <w:t xml:space="preserve">Fragestellung bestimmen</w:t>
      </w:r>
    </w:p>
    <w:p>
      <w:pPr>
        <w:pStyle w:val="BodyText"/>
      </w:pPr>
      <w:r>
        <w:t xml:space="preserve">Die Beobachtungseinheiten und die Aussageebene sind: Orte; die Ernährungsvielfalt wurde über Haushalte zusammengefasst, bevor die Aussage auf jeden Haushalt übertragen wurde.</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Aggregation auf Ortsebene, Wohlstand, Landwirtschaft, Verkehr, Tourismus und nicht gemessene Marktbesuche.</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Haushalte direkt befragen und Veränderungen in passenden Orten vor und nach Markteröffnungen vergleichen.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5"/>
    <w:bookmarkStart w:id="36" w:name="X990ea8aa348a40b4daf06d0c54d84c5f39c5657"/>
    <w:p>
      <w:pPr>
        <w:pStyle w:val="Heading3"/>
      </w:pPr>
      <w:r>
        <w:rPr>
          <w:rStyle w:val="VerbatimChar"/>
        </w:rPr>
        <w:t xml:space="preserve">T04-A07-V06</w:t>
      </w:r>
      <w:r>
        <w:t xml:space="preserve">: Digitale Erinnerungen und Anwesenheit</w:t>
      </w:r>
    </w:p>
    <w:p>
      <w:pPr>
        <w:pStyle w:val="FirstParagraph"/>
      </w:pPr>
      <w:r>
        <w:rPr>
          <w:b/>
          <w:bCs/>
        </w:rPr>
        <w:t xml:space="preserve">Fragestellung bestimmen</w:t>
      </w:r>
    </w:p>
    <w:p>
      <w:pPr>
        <w:pStyle w:val="BodyText"/>
      </w:pPr>
      <w:r>
        <w:t xml:space="preserve">Die Beobachtungseinheiten und die Aussageebene sind: Termine oder Patientinnen und Patienten, zusammengefasst über zwei Zeiträume derselben Klinik.</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veränderte Zusammensetzung der Patientengruppe, Personal, Terminarten, Jahreszeit, Planung und Definition des Nenners.</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Erinnerungen zufällig zuweisen oder eine zeitgleiche vergleichbare Klinik mit gleichbleibender Ergebnisdefinition einbeziehen.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6"/>
    <w:bookmarkStart w:id="37" w:name="t04-a07-v07-lyrikgruppen-und-empathie"/>
    <w:p>
      <w:pPr>
        <w:pStyle w:val="Heading3"/>
      </w:pPr>
      <w:r>
        <w:rPr>
          <w:rStyle w:val="VerbatimChar"/>
        </w:rPr>
        <w:t xml:space="preserve">T04-A07-V07</w:t>
      </w:r>
      <w:r>
        <w:t xml:space="preserve">: Lyrikgruppen und Empathie</w:t>
      </w:r>
    </w:p>
    <w:p>
      <w:pPr>
        <w:pStyle w:val="FirstParagraph"/>
      </w:pPr>
      <w:r>
        <w:rPr>
          <w:b/>
          <w:bCs/>
        </w:rPr>
        <w:t xml:space="preserve">Fragestellung bestimmen</w:t>
      </w:r>
    </w:p>
    <w:p>
      <w:pPr>
        <w:pStyle w:val="BodyText"/>
      </w:pPr>
      <w:r>
        <w:t xml:space="preserve">Die Beobachtungseinheiten und die Aussageebene sind: einzelne Gruppenmitglieder und getrennt erhobene Online-Befragte aus nicht vergleichbaren Stichproben.</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Selbstselektion, nicht vergleichbare Stichproben, Selbstauskunft und bereits vorhandenes literarisches Interesse.</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Empathie zu Beginn in vergleichbaren Gruppen messen und Einladungen nach Möglichkeit zufällig vergeben.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7"/>
    <w:bookmarkStart w:id="38" w:name="t04-a07-v08-velowege-und-kundenfrequenz"/>
    <w:p>
      <w:pPr>
        <w:pStyle w:val="Heading3"/>
      </w:pPr>
      <w:r>
        <w:rPr>
          <w:rStyle w:val="VerbatimChar"/>
        </w:rPr>
        <w:t xml:space="preserve">T04-A07-V08</w:t>
      </w:r>
      <w:r>
        <w:t xml:space="preserve">: Velowege und Kundenfrequenz</w:t>
      </w:r>
    </w:p>
    <w:p>
      <w:pPr>
        <w:pStyle w:val="FirstParagraph"/>
      </w:pPr>
      <w:r>
        <w:rPr>
          <w:b/>
          <w:bCs/>
        </w:rPr>
        <w:t xml:space="preserve">Fragestellung bestimmen</w:t>
      </w:r>
    </w:p>
    <w:p>
      <w:pPr>
        <w:pStyle w:val="BodyText"/>
      </w:pPr>
      <w:r>
        <w:t xml:space="preserve">Die Beobachtungseinheiten und die Aussageebene sind: Strassen; die Besuchszahlen wurden auf Strassenebene zusammengefasst.</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Zentralität der Strasse, Zusammensetzung der Geschäfte, Veranstaltungen, Parkplätze, Zugang zu Fuss und frühere Besuchszahlen.</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wiederholte Zählungen vor und nach dem Bau auf behandelten und passenden unbehandelten Strassen durchführen.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8"/>
    <w:bookmarkStart w:id="39" w:name="X63374e75ff7b75c5a2c55e7c6fb3298dac92ed8"/>
    <w:p>
      <w:pPr>
        <w:pStyle w:val="Heading3"/>
      </w:pPr>
      <w:r>
        <w:rPr>
          <w:rStyle w:val="VerbatimChar"/>
        </w:rPr>
        <w:t xml:space="preserve">T04-A07-V09</w:t>
      </w:r>
      <w:r>
        <w:t xml:space="preserve">: Gartenparzellen und Wohlbefinden</w:t>
      </w:r>
    </w:p>
    <w:p>
      <w:pPr>
        <w:pStyle w:val="FirstParagraph"/>
      </w:pPr>
      <w:r>
        <w:rPr>
          <w:b/>
          <w:bCs/>
        </w:rPr>
        <w:t xml:space="preserve">Fragestellung bestimmen</w:t>
      </w:r>
    </w:p>
    <w:p>
      <w:pPr>
        <w:pStyle w:val="BodyText"/>
      </w:pPr>
      <w:r>
        <w:t xml:space="preserve">Die Beobachtungseinheiten und die Aussageebene sind: einzelne Mietende und Personen auf der Warteliste; Teilnahme und Wohlbefinden wurden auf Personenebene erfasst.</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Gesundheit, Mobilität, Motivation, soziale Beziehungen, selektive Vergabe und fehlende Ausgangsmessung.</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validierte Ergebnisse vor der Vergabe messen und bei knappen Parzellen eine Lotterie nutzen.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39"/>
    <w:bookmarkStart w:id="40" w:name="Xe89a9ec02c49c75b67eeceb2502ea0ebea43889"/>
    <w:p>
      <w:pPr>
        <w:pStyle w:val="Heading3"/>
      </w:pPr>
      <w:r>
        <w:rPr>
          <w:rStyle w:val="VerbatimChar"/>
        </w:rPr>
        <w:t xml:space="preserve">T04-A07-V10</w:t>
      </w:r>
      <w:r>
        <w:t xml:space="preserve">: Kurse mit Untertiteln und Abschluss</w:t>
      </w:r>
    </w:p>
    <w:p>
      <w:pPr>
        <w:pStyle w:val="FirstParagraph"/>
      </w:pPr>
      <w:r>
        <w:rPr>
          <w:b/>
          <w:bCs/>
        </w:rPr>
        <w:t xml:space="preserve">Fragestellung bestimmen</w:t>
      </w:r>
    </w:p>
    <w:p>
      <w:pPr>
        <w:pStyle w:val="BodyText"/>
      </w:pPr>
      <w:r>
        <w:t xml:space="preserve">Die Beobachtungseinheiten und die Aussageebene sind: Kurse; die Abschlussrate wurde über Lernende auf Kursebene zusammengefasst.</w:t>
      </w:r>
    </w:p>
    <w:p>
      <w:pPr>
        <w:pStyle w:val="BodyText"/>
      </w:pPr>
      <w:r>
        <w:t xml:space="preserve">Der berichtete Vergleich stützt höchstens einen Zusammenhang auf dieser aufgezeichneten Ebene.</w:t>
      </w:r>
    </w:p>
    <w:p>
      <w:pPr>
        <w:pStyle w:val="BodyText"/>
      </w:pPr>
      <w:r>
        <w:rPr>
          <w:b/>
          <w:bCs/>
        </w:rPr>
        <w:t xml:space="preserve">Evidenz schrittweise beurteilen</w:t>
      </w:r>
    </w:p>
    <w:p>
      <w:pPr>
        <w:pStyle w:val="BodyText"/>
      </w:pPr>
      <w:r>
        <w:t xml:space="preserve">Zu den zentralen Gefahren gehören Kursthema, Budget, Unterrichtsqualität, Unterstützung, Zusammensetzung der Lernenden und Aggregation auf Kursebene.</w:t>
      </w:r>
    </w:p>
    <w:p>
      <w:pPr>
        <w:pStyle w:val="BodyText"/>
      </w:pPr>
      <w:r>
        <w:t xml:space="preserve">Vertretbar wäre die Aussage, dass die gemessenen Variablen in dieser Stichprobe oder diesem aggregierten Datensatz zusammenhingen, ohne zu behaupten, die eine habe die andere erzeugt oder jedes Individuum folge dem Gruppenmuster.</w:t>
      </w:r>
    </w:p>
    <w:p>
      <w:pPr>
        <w:pStyle w:val="BodyText"/>
      </w:pPr>
      <w:r>
        <w:rPr>
          <w:b/>
          <w:bCs/>
        </w:rPr>
        <w:t xml:space="preserve">Schluss und Grenzen festhalten</w:t>
      </w:r>
    </w:p>
    <w:p>
      <w:pPr>
        <w:pStyle w:val="BodyText"/>
      </w:pPr>
      <w:r>
        <w:t xml:space="preserve">Eine stärkere Untersuchung würde passende Kurse vergleichen oder Untertitel schrittweise und zufällig einführen und Ergebnisse auf Lernendenebene messen.</w:t>
      </w:r>
    </w:p>
    <w:p>
      <w:pPr>
        <w:pStyle w:val="BodyText"/>
      </w:pPr>
      <w:r>
        <w:t xml:space="preserve">Zudem muss sie Stichprobenrahmen, fehlende Werte, Messqualität, zeitliche Reihenfolge und verbleibende Grenzen berichten.</w:t>
      </w:r>
    </w:p>
    <w:p>
      <w:pPr>
        <w:pStyle w:val="BodyText"/>
      </w:pPr>
      <w:r>
        <w:t xml:space="preserve">Kein Korrelationskoeffizient allein verwandelt einen beobachteten Vergleich in einen kausalen Effekt.</w:t>
      </w:r>
    </w:p>
    <w:bookmarkEnd w:id="40"/>
    <w:bookmarkEnd w:id="41"/>
    <w:bookmarkEnd w:id="42"/>
    <w:bookmarkStart w:id="98" w:name="teil-ii-rechnerpraxis"/>
    <w:p>
      <w:pPr>
        <w:pStyle w:val="Heading1"/>
      </w:pPr>
      <w:r>
        <w:t xml:space="preserve">Teil II: Rechnerpraxis</w:t>
      </w:r>
    </w:p>
    <w:bookmarkStart w:id="53" w:name="X02141bcf78779acb5717f4d74b21c545b9d9c9c"/>
    <w:p>
      <w:pPr>
        <w:pStyle w:val="Heading2"/>
      </w:pPr>
      <w:r>
        <w:t xml:space="preserve">A01: Pearson-Korrelation und verborgene Nichtlinearität</w:t>
      </w:r>
    </w:p>
    <w:bookmarkStart w:id="43" w:name="X171ea94075be5b9fec50f478b30391ba24afb0f"/>
    <w:p>
      <w:pPr>
        <w:pStyle w:val="Heading3"/>
      </w:pPr>
      <w:r>
        <w:rPr>
          <w:rStyle w:val="VerbatimChar"/>
        </w:rPr>
        <w:t xml:space="preserve">T04-A01-V01</w:t>
      </w:r>
      <w:r>
        <w:t xml:space="preserve">: Hintergrundgeräusche und Korrekturlesefehler</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4.000</m:t>
        </m:r>
      </m:oMath>
      <w:r>
        <w:t xml:space="preserve"> </w:t>
      </w:r>
      <w:r>
        <w:t xml:space="preserve">und</w:t>
      </w:r>
      <w:r>
        <w:t xml:space="preserve"> </w:t>
      </w:r>
      <m:oMath>
        <m:acc>
          <m:accPr>
            <m:chr m:val="‾"/>
          </m:accPr>
          <m:e>
            <m:r>
              <m:t>y</m:t>
            </m:r>
          </m:e>
        </m:acc>
        <m:r>
          <m:rPr>
            <m:sty m:val="p"/>
          </m:rPr>
          <m:t>=</m:t>
        </m:r>
        <m:r>
          <m:t>6.000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84.000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3"/>
    <w:bookmarkStart w:id="44" w:name="X840f78733bbc2a99adef51b9eda5b66efb4a28d"/>
    <w:p>
      <w:pPr>
        <w:pStyle w:val="Heading3"/>
      </w:pPr>
      <w:r>
        <w:rPr>
          <w:rStyle w:val="VerbatimChar"/>
        </w:rPr>
        <w:t xml:space="preserve">T04-A01-V02</w:t>
      </w:r>
      <w:r>
        <w:t xml:space="preserve">: Raumtemperatur und Konzentrationsverlust</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22.000</m:t>
        </m:r>
      </m:oMath>
      <w:r>
        <w:t xml:space="preserve"> </w:t>
      </w:r>
      <w:r>
        <w:t xml:space="preserve">und</w:t>
      </w:r>
      <w:r>
        <w:t xml:space="preserve"> </w:t>
      </w:r>
      <m:oMath>
        <m:acc>
          <m:accPr>
            <m:chr m:val="‾"/>
          </m:accPr>
          <m:e>
            <m:r>
              <m:t>y</m:t>
            </m:r>
          </m:e>
        </m:acc>
        <m:r>
          <m:rPr>
            <m:sty m:val="p"/>
          </m:rPr>
          <m:t>=</m:t>
        </m:r>
        <m:r>
          <m:t>10.000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336.000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4"/>
    <w:bookmarkStart w:id="45" w:name="X38c6caa82c4f4e2ab6663a179ad79556e98480a"/>
    <w:p>
      <w:pPr>
        <w:pStyle w:val="Heading3"/>
      </w:pPr>
      <w:r>
        <w:rPr>
          <w:rStyle w:val="VerbatimChar"/>
        </w:rPr>
        <w:t xml:space="preserve">T04-A01-V03</w:t>
      </w:r>
      <w:r>
        <w:t xml:space="preserve">: Tägliche Übungszeit und Ermüdung an beiden Extremen</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4.000</m:t>
        </m:r>
      </m:oMath>
      <w:r>
        <w:t xml:space="preserve"> </w:t>
      </w:r>
      <w:r>
        <w:t xml:space="preserve">und</w:t>
      </w:r>
      <w:r>
        <w:t xml:space="preserve"> </w:t>
      </w:r>
      <m:oMath>
        <m:acc>
          <m:accPr>
            <m:chr m:val="‾"/>
          </m:accPr>
          <m:e>
            <m:r>
              <m:t>y</m:t>
            </m:r>
          </m:e>
        </m:acc>
        <m:r>
          <m:rPr>
            <m:sty m:val="p"/>
          </m:rPr>
          <m:t>=</m:t>
        </m:r>
        <m:r>
          <m:t>6.000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84.000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5"/>
    <w:bookmarkStart w:id="46" w:name="X8cb9d3e892b6a28a0fb24316d88996250dd870b"/>
    <w:p>
      <w:pPr>
        <w:pStyle w:val="Heading3"/>
      </w:pPr>
      <w:r>
        <w:rPr>
          <w:rStyle w:val="VerbatimChar"/>
        </w:rPr>
        <w:t xml:space="preserve">T04-A01-V04</w:t>
      </w:r>
      <w:r>
        <w:t xml:space="preserve">: Gedränge im Museum und Unbehagen beim Besuch</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4.000</m:t>
        </m:r>
      </m:oMath>
      <w:r>
        <w:t xml:space="preserve"> </w:t>
      </w:r>
      <w:r>
        <w:t xml:space="preserve">und</w:t>
      </w:r>
      <w:r>
        <w:t xml:space="preserve"> </w:t>
      </w:r>
      <m:oMath>
        <m:acc>
          <m:accPr>
            <m:chr m:val="‾"/>
          </m:accPr>
          <m:e>
            <m:r>
              <m:t>y</m:t>
            </m:r>
          </m:e>
        </m:acc>
        <m:r>
          <m:rPr>
            <m:sty m:val="p"/>
          </m:rPr>
          <m:t>=</m:t>
        </m:r>
        <m:r>
          <m:t>14.000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756.000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6"/>
    <w:bookmarkStart w:id="47" w:name="X63322dc7799d8aaa69d465e872f9df61edca600"/>
    <w:p>
      <w:pPr>
        <w:pStyle w:val="Heading3"/>
      </w:pPr>
      <w:r>
        <w:rPr>
          <w:rStyle w:val="VerbatimChar"/>
        </w:rPr>
        <w:t xml:space="preserve">T04-A01-V05</w:t>
      </w:r>
      <w:r>
        <w:t xml:space="preserve">: Textgrösse und Leseschwierigkeit</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12.000</m:t>
        </m:r>
      </m:oMath>
      <w:r>
        <w:t xml:space="preserve"> </w:t>
      </w:r>
      <w:r>
        <w:t xml:space="preserve">und</w:t>
      </w:r>
      <w:r>
        <w:t xml:space="preserve"> </w:t>
      </w:r>
      <m:oMath>
        <m:acc>
          <m:accPr>
            <m:chr m:val="‾"/>
          </m:accPr>
          <m:e>
            <m:r>
              <m:t>y</m:t>
            </m:r>
          </m:e>
        </m:acc>
        <m:r>
          <m:rPr>
            <m:sty m:val="p"/>
          </m:rPr>
          <m:t>=</m:t>
        </m:r>
        <m:r>
          <m:t>10.000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336.000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7"/>
    <w:bookmarkStart w:id="48" w:name="Xd94e06fad8b9e084397a675d2a39bc633376d84"/>
    <w:p>
      <w:pPr>
        <w:pStyle w:val="Heading3"/>
      </w:pPr>
      <w:r>
        <w:rPr>
          <w:rStyle w:val="VerbatimChar"/>
        </w:rPr>
        <w:t xml:space="preserve">T04-A01-V06</w:t>
      </w:r>
      <w:r>
        <w:t xml:space="preserve">: Häufigkeit von Benachrichtigungen und Aufgabenunterbrechung</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3.000</m:t>
        </m:r>
      </m:oMath>
      <w:r>
        <w:t xml:space="preserve"> </w:t>
      </w:r>
      <w:r>
        <w:t xml:space="preserve">und</w:t>
      </w:r>
      <w:r>
        <w:t xml:space="preserve"> </w:t>
      </w:r>
      <m:oMath>
        <m:acc>
          <m:accPr>
            <m:chr m:val="‾"/>
          </m:accPr>
          <m:e>
            <m:r>
              <m:t>y</m:t>
            </m:r>
          </m:e>
        </m:acc>
        <m:r>
          <m:rPr>
            <m:sty m:val="p"/>
          </m:rPr>
          <m:t>=</m:t>
        </m:r>
        <m:r>
          <m:t>6.000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84.000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8"/>
    <w:bookmarkStart w:id="49" w:name="X5ba32cca5dfd92b12065a8226be57c0a2b036cf"/>
    <w:p>
      <w:pPr>
        <w:pStyle w:val="Heading3"/>
      </w:pPr>
      <w:r>
        <w:rPr>
          <w:rStyle w:val="VerbatimChar"/>
        </w:rPr>
        <w:t xml:space="preserve">T04-A01-V07</w:t>
      </w:r>
      <w:r>
        <w:t xml:space="preserve">: Routenkomplexität und Navigationsbelastung</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5.000</m:t>
        </m:r>
      </m:oMath>
      <w:r>
        <w:t xml:space="preserve"> </w:t>
      </w:r>
      <w:r>
        <w:t xml:space="preserve">und</w:t>
      </w:r>
      <w:r>
        <w:t xml:space="preserve"> </w:t>
      </w:r>
      <m:oMath>
        <m:acc>
          <m:accPr>
            <m:chr m:val="‾"/>
          </m:accPr>
          <m:e>
            <m:r>
              <m:t>y</m:t>
            </m:r>
          </m:e>
        </m:acc>
        <m:r>
          <m:rPr>
            <m:sty m:val="p"/>
          </m:rPr>
          <m:t>=</m:t>
        </m:r>
        <m:r>
          <m:t>14.000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756.000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49"/>
    <w:bookmarkStart w:id="50" w:name="t04-a01-v08-sitzungsdauer-und-unruhe"/>
    <w:p>
      <w:pPr>
        <w:pStyle w:val="Heading3"/>
      </w:pPr>
      <w:r>
        <w:rPr>
          <w:rStyle w:val="VerbatimChar"/>
        </w:rPr>
        <w:t xml:space="preserve">T04-A01-V08</w:t>
      </w:r>
      <w:r>
        <w:t xml:space="preserve">: Sitzungsdauer und Unruhe</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6.000</m:t>
        </m:r>
      </m:oMath>
      <w:r>
        <w:t xml:space="preserve"> </w:t>
      </w:r>
      <w:r>
        <w:t xml:space="preserve">und</w:t>
      </w:r>
      <w:r>
        <w:t xml:space="preserve"> </w:t>
      </w:r>
      <m:oMath>
        <m:acc>
          <m:accPr>
            <m:chr m:val="‾"/>
          </m:accPr>
          <m:e>
            <m:r>
              <m:t>y</m:t>
            </m:r>
          </m:e>
        </m:acc>
        <m:r>
          <m:rPr>
            <m:sty m:val="p"/>
          </m:rPr>
          <m:t>=</m:t>
        </m:r>
        <m:r>
          <m:t>6.000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84.000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50"/>
    <w:bookmarkStart w:id="51" w:name="X2720dcbc5048d7569a1297cb24691126af0478c"/>
    <w:p>
      <w:pPr>
        <w:pStyle w:val="Heading3"/>
      </w:pPr>
      <w:r>
        <w:rPr>
          <w:rStyle w:val="VerbatimChar"/>
        </w:rPr>
        <w:t xml:space="preserve">T04-A01-V09</w:t>
      </w:r>
      <w:r>
        <w:t xml:space="preserve">: Luftfeuchtigkeit im Archiv und Erhaltungsrisiko</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5.000</m:t>
        </m:r>
      </m:oMath>
      <w:r>
        <w:t xml:space="preserve"> </w:t>
      </w:r>
      <w:r>
        <w:t xml:space="preserve">und</w:t>
      </w:r>
      <w:r>
        <w:t xml:space="preserve"> </w:t>
      </w:r>
      <m:oMath>
        <m:acc>
          <m:accPr>
            <m:chr m:val="‾"/>
          </m:accPr>
          <m:e>
            <m:r>
              <m:t>y</m:t>
            </m:r>
          </m:e>
        </m:acc>
        <m:r>
          <m:rPr>
            <m:sty m:val="p"/>
          </m:rPr>
          <m:t>=</m:t>
        </m:r>
        <m:r>
          <m:t>10.000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336.000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51"/>
    <w:bookmarkStart w:id="52" w:name="X75bbde6bda515381c0711f715acde9c3596f667"/>
    <w:p>
      <w:pPr>
        <w:pStyle w:val="Heading3"/>
      </w:pPr>
      <w:r>
        <w:rPr>
          <w:rStyle w:val="VerbatimChar"/>
        </w:rPr>
        <w:t xml:space="preserve">T04-A01-V10</w:t>
      </w:r>
      <w:r>
        <w:t xml:space="preserve">: Beleuchtungsstärke und visuelles Unbehagen</w:t>
      </w:r>
    </w:p>
    <w:p>
      <w:pPr>
        <w:pStyle w:val="FirstParagraph"/>
      </w:pPr>
      <w:r>
        <w:rPr>
          <w:b/>
          <w:bCs/>
        </w:rPr>
        <w:t xml:space="preserve">Vor dem Rechnen begründen</w:t>
      </w:r>
    </w:p>
    <w:p>
      <w:pPr>
        <w:pStyle w:val="BodyText"/>
      </w:pPr>
      <w:r>
        <w:t xml:space="preserve">Die Mittelwerte sind</w:t>
      </w:r>
      <w:r>
        <w:t xml:space="preserve"> </w:t>
      </w:r>
      <m:oMath>
        <m:acc>
          <m:accPr>
            <m:chr m:val="‾"/>
          </m:accPr>
          <m:e>
            <m:r>
              <m:t>x</m:t>
            </m:r>
          </m:e>
        </m:acc>
        <m:r>
          <m:rPr>
            <m:sty m:val="p"/>
          </m:rPr>
          <m:t>=</m:t>
        </m:r>
        <m:r>
          <m:t>4.000</m:t>
        </m:r>
      </m:oMath>
      <w:r>
        <w:t xml:space="preserve"> </w:t>
      </w:r>
      <w:r>
        <w:t xml:space="preserve">und</w:t>
      </w:r>
      <w:r>
        <w:t xml:space="preserve"> </w:t>
      </w:r>
      <m:oMath>
        <m:acc>
          <m:accPr>
            <m:chr m:val="‾"/>
          </m:accPr>
          <m:e>
            <m:r>
              <m:t>y</m:t>
            </m:r>
          </m:e>
        </m:acc>
        <m:r>
          <m:rPr>
            <m:sty m:val="p"/>
          </m:rPr>
          <m:t>=</m:t>
        </m:r>
        <m:r>
          <m:t>10.000</m:t>
        </m:r>
      </m:oMath>
      <w:r>
        <w:t xml:space="preserve">.</w:t>
      </w:r>
    </w:p>
    <w:p>
      <w:pPr>
        <w:pStyle w:val="BodyText"/>
      </w:pPr>
      <w:r>
        <w:t xml:space="preserve">Symmetrische tiefe und hohe</w:t>
      </w:r>
      <w:r>
        <w:t xml:space="preserve"> </w:t>
      </w:r>
      <m:oMath>
        <m:r>
          <m:t>X</m:t>
        </m:r>
      </m:oMath>
      <w:r>
        <w:t xml:space="preserve">-Werte besitzen dieselben</w:t>
      </w:r>
      <w:r>
        <w:t xml:space="preserve"> </w:t>
      </w:r>
      <m:oMath>
        <m:r>
          <m:t>Y</m:t>
        </m:r>
      </m:oMath>
      <w:r>
        <w:t xml:space="preserve">-Werte.</w:t>
      </w:r>
    </w:p>
    <w:p>
      <w:pPr>
        <w:pStyle w:val="BodyText"/>
      </w:pPr>
      <w:r>
        <w:rPr>
          <w:b/>
          <w:bCs/>
        </w:rPr>
        <w:t xml:space="preserve">Berechnung durchführen</w:t>
      </w:r>
    </w:p>
    <w:p>
      <w:pPr>
        <w:pStyle w:val="BodyText"/>
      </w:pPr>
      <w:r>
        <w:t xml:space="preserve">Deshalb heben sich positive und negative Kreuzprodukte auf:</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r>
          <m:rPr>
            <m:sty m:val="p"/>
          </m:rPr>
          <m:t>=</m:t>
        </m:r>
        <m:r>
          <m:t>0.000</m:t>
        </m:r>
      </m:oMath>
      <w:r>
        <w:t xml:space="preserve">.</w:t>
      </w:r>
    </w:p>
    <w:p>
      <w:pPr>
        <w:pStyle w:val="BodyText"/>
      </w:pPr>
      <w:r>
        <w:t xml:space="preserve">Der Nenner ist</w:t>
      </w:r>
      <w:r>
        <w:t xml:space="preserve"> </w:t>
      </w:r>
      <m:oMath>
        <m:rad>
          <m:radPr>
            <m:degHide m:val="on"/>
          </m:radPr>
          <m:deg/>
          <m:e>
            <m:r>
              <m:t>28.000</m:t>
            </m:r>
            <m:d>
              <m:dPr>
                <m:begChr m:val="("/>
                <m:sepChr m:val=""/>
                <m:endChr m:val=")"/>
                <m:grow/>
              </m:dPr>
              <m:e>
                <m:r>
                  <m:t>336.000</m:t>
                </m:r>
              </m:e>
            </m:d>
          </m:e>
        </m:rad>
      </m:oMath>
      <w:r>
        <w:t xml:space="preserve">; damit ergibt sich</w:t>
      </w:r>
      <w:r>
        <w:t xml:space="preserve"> </w:t>
      </w:r>
      <m:oMath>
        <m:r>
          <m:t>r</m:t>
        </m:r>
        <m:r>
          <m:rPr>
            <m:sty m:val="p"/>
          </m:rPr>
          <m:t>=</m:t>
        </m:r>
        <m:r>
          <m:t>0.0000</m:t>
        </m:r>
      </m:oMath>
      <w:r>
        <w:t xml:space="preserve">.</w:t>
      </w:r>
    </w:p>
    <w:p>
      <w:pPr>
        <w:pStyle w:val="BodyText"/>
      </w:pPr>
      <w:r>
        <w:rPr>
          <w:b/>
          <w:bCs/>
        </w:rPr>
        <w:t xml:space="preserve">Ergebnis interpretieren und prüfen</w:t>
      </w:r>
    </w:p>
    <w:p>
      <w:pPr>
        <w:pStyle w:val="BodyText"/>
      </w:pPr>
      <w:r>
        <w:t xml:space="preserve">Das Streudiagramm bildet eine U-Form: Die Ergebnisvariable ist nahe der Mitte der Prädiktorvariable am tiefsten und steigt zu beiden Extremen.</w:t>
      </w:r>
    </w:p>
    <w:p>
      <w:pPr>
        <w:pStyle w:val="BodyText"/>
      </w:pPr>
      <w:r>
        <w:t xml:space="preserve">Pearsons</w:t>
      </w:r>
      <w:r>
        <w:t xml:space="preserve"> </w:t>
      </w:r>
      <m:oMath>
        <m:r>
          <m:t>r</m:t>
        </m:r>
      </m:oMath>
      <w:r>
        <w:t xml:space="preserve"> </w:t>
      </w:r>
      <w:r>
        <w:t xml:space="preserve">fasst nur ein geradliniges Muster zusammen.</w:t>
      </w:r>
    </w:p>
    <w:p>
      <w:pPr>
        <w:pStyle w:val="BodyText"/>
      </w:pPr>
      <w:r>
        <w:t xml:space="preserve">Hier liegt er nahe null, weil keine allgemeine auf- oder absteigende Gerade vorliegt, nicht weil der sichtbare nichtlineare Zusammenhang fehlt.</w:t>
      </w:r>
    </w:p>
    <w:bookmarkEnd w:id="52"/>
    <w:bookmarkEnd w:id="53"/>
    <w:bookmarkStart w:id="64" w:name="X72f7aad2881fc9172bdb1410aeb4b95414c4a3b"/>
    <w:p>
      <w:pPr>
        <w:pStyle w:val="Heading2"/>
      </w:pPr>
      <w:r>
        <w:t xml:space="preserve">A03: Eine gerichtete Populationskorrelation testen</w:t>
      </w:r>
    </w:p>
    <w:bookmarkStart w:id="54" w:name="Xbbf677a8ed5b5e353da0a47eba8f32c90d1e88a"/>
    <w:p>
      <w:pPr>
        <w:pStyle w:val="Heading3"/>
      </w:pPr>
      <w:r>
        <w:rPr>
          <w:rStyle w:val="VerbatimChar"/>
        </w:rPr>
        <w:t xml:space="preserve">T04-A03-V01</w:t>
      </w:r>
      <w:r>
        <w:t xml:space="preserve">: Übungszeit und logisches Denken</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4.1000</m:t>
        </m:r>
        <m:r>
          <m:rPr>
            <m:sty m:val="p"/>
          </m:rPr>
          <m:t>/</m:t>
        </m:r>
        <m:d>
          <m:dPr>
            <m:begChr m:val="["/>
            <m:sepChr m:val=""/>
            <m:endChr m:val="]"/>
            <m:grow/>
          </m:dPr>
          <m:e>
            <m:r>
              <m:t>2.00</m:t>
            </m:r>
            <m:d>
              <m:dPr>
                <m:begChr m:val="("/>
                <m:sepChr m:val=""/>
                <m:endChr m:val=")"/>
                <m:grow/>
              </m:dPr>
              <m:e>
                <m:r>
                  <m:t>5.00</m:t>
                </m:r>
              </m:e>
            </m:d>
          </m:e>
        </m:d>
        <m:r>
          <m:rPr>
            <m:sty m:val="p"/>
          </m:rPr>
          <m:t>=</m:t>
        </m:r>
        <m:r>
          <m:t>0.4100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t>0.4100</m:t>
        </m:r>
        <m:rad>
          <m:radPr>
            <m:degHide m:val="on"/>
          </m:radPr>
          <m:deg/>
          <m:e>
            <m:d>
              <m:dPr>
                <m:begChr m:val="("/>
                <m:sepChr m:val=""/>
                <m:endChr m:val=")"/>
                <m:grow/>
              </m:dPr>
              <m:e>
                <m:r>
                  <m:t>20</m:t>
                </m:r>
                <m:r>
                  <m:rPr>
                    <m:sty m:val="p"/>
                  </m:rPr>
                  <m:t>−</m:t>
                </m:r>
                <m:r>
                  <m:t>2</m:t>
                </m:r>
              </m:e>
            </m:d>
            <m:r>
              <m:rPr>
                <m:sty m:val="p"/>
              </m:rPr>
              <m:t>/</m:t>
            </m:r>
            <m:d>
              <m:dPr>
                <m:begChr m:val="("/>
                <m:sepChr m:val=""/>
                <m:endChr m:val=")"/>
                <m:grow/>
              </m:dPr>
              <m:e>
                <m:r>
                  <m:t>1</m:t>
                </m:r>
                <m:r>
                  <m:rPr>
                    <m:sty m:val="p"/>
                  </m:rPr>
                  <m:t>−</m:t>
                </m:r>
                <m:sSup>
                  <m:e>
                    <m:d>
                      <m:dPr>
                        <m:begChr m:val="("/>
                        <m:sepChr m:val=""/>
                        <m:endChr m:val=")"/>
                        <m:grow/>
                      </m:dPr>
                      <m:e>
                        <m:r>
                          <m:t>0.4100</m:t>
                        </m:r>
                      </m:e>
                    </m:d>
                  </m:e>
                  <m:sup>
                    <m:r>
                      <m:t>2</m:t>
                    </m:r>
                  </m:sup>
                </m:sSup>
              </m:e>
            </m:d>
          </m:e>
        </m:rad>
        <m:r>
          <m:rPr>
            <m:sty m:val="p"/>
          </m:rPr>
          <m:t>=</m:t>
        </m:r>
        <m:r>
          <m:t>1.9071</m:t>
        </m:r>
      </m:oMath>
      <w:r>
        <w:t xml:space="preserve"> </w:t>
      </w:r>
      <w:r>
        <w:t xml:space="preserve">mit</w:t>
      </w:r>
      <w:r>
        <w:t xml:space="preserve"> </w:t>
      </w:r>
      <m:oMath>
        <m:r>
          <m:t>d</m:t>
        </m:r>
        <m:r>
          <m:t>f</m:t>
        </m:r>
        <m:r>
          <m:rPr>
            <m:sty m:val="p"/>
          </m:rPr>
          <m:t>=</m:t>
        </m:r>
        <m:r>
          <m:t>18</m:t>
        </m:r>
      </m:oMath>
      <w:r>
        <w:t xml:space="preserve">.</w:t>
      </w:r>
    </w:p>
    <w:p>
      <w:pPr>
        <w:pStyle w:val="BodyText"/>
      </w:pPr>
      <w:r>
        <w:t xml:space="preserve">Sie überschreitet die gerichtete Grenze 1.7341; deshalb lehnen wir</w:t>
      </w:r>
      <w:r>
        <w:t xml:space="preserve"> </w:t>
      </w:r>
      <m:oMath>
        <m:sSub>
          <m:e>
            <m:r>
              <m:t>H</m:t>
            </m:r>
          </m:e>
          <m:sub>
            <m:r>
              <m:t>0</m:t>
            </m:r>
          </m:sub>
        </m:sSub>
      </m:oMath>
      <w:r>
        <w:t xml:space="preserve"> </w:t>
      </w:r>
      <w:r>
        <w:t xml:space="preserve">bei 5% ab.</w:t>
      </w:r>
    </w:p>
    <w:p>
      <w:pPr>
        <w:pStyle w:val="BodyText"/>
      </w:pPr>
      <w:r>
        <w:t xml:space="preserve">Der Stichprobenzusammenhang ist positiv: Grössere Werte der Prädiktorvariable treten im linearen Sinn tendenziell mit grösseren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0.41</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54"/>
    <w:bookmarkStart w:id="55" w:name="X8ca154d1027b9faf6cfa34abd2adf877f0f3364"/>
    <w:p>
      <w:pPr>
        <w:pStyle w:val="Heading3"/>
      </w:pPr>
      <w:r>
        <w:rPr>
          <w:rStyle w:val="VerbatimChar"/>
        </w:rPr>
        <w:t xml:space="preserve">T04-A03-V02</w:t>
      </w:r>
      <w:r>
        <w:t xml:space="preserve">: Suchzeit und Archivgenauigkeit</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4.3200</m:t>
        </m:r>
        <m:r>
          <m:rPr>
            <m:sty m:val="p"/>
          </m:rPr>
          <m:t>/</m:t>
        </m:r>
        <m:d>
          <m:dPr>
            <m:begChr m:val="["/>
            <m:sepChr m:val=""/>
            <m:endChr m:val="]"/>
            <m:grow/>
          </m:dPr>
          <m:e>
            <m:r>
              <m:t>4.00</m:t>
            </m:r>
            <m:d>
              <m:dPr>
                <m:begChr m:val="("/>
                <m:sepChr m:val=""/>
                <m:endChr m:val=")"/>
                <m:grow/>
              </m:dPr>
              <m:e>
                <m:r>
                  <m:t>3.00</m:t>
                </m:r>
              </m:e>
            </m:d>
          </m:e>
        </m:d>
        <m:r>
          <m:rPr>
            <m:sty m:val="p"/>
          </m:rPr>
          <m:t>=</m:t>
        </m:r>
        <m:r>
          <m:rPr>
            <m:sty m:val="p"/>
          </m:rPr>
          <m:t>−</m:t>
        </m:r>
        <m:r>
          <m:t>0.3600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rPr>
            <m:sty m:val="p"/>
          </m:rPr>
          <m:t>−</m:t>
        </m:r>
        <m:r>
          <m:t>0.3600</m:t>
        </m:r>
        <m:rad>
          <m:radPr>
            <m:degHide m:val="on"/>
          </m:radPr>
          <m:deg/>
          <m:e>
            <m:d>
              <m:dPr>
                <m:begChr m:val="("/>
                <m:sepChr m:val=""/>
                <m:endChr m:val=")"/>
                <m:grow/>
              </m:dPr>
              <m:e>
                <m:r>
                  <m:t>25</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0.3600</m:t>
                        </m:r>
                      </m:e>
                    </m:d>
                  </m:e>
                  <m:sup>
                    <m:r>
                      <m:t>2</m:t>
                    </m:r>
                  </m:sup>
                </m:sSup>
              </m:e>
            </m:d>
          </m:e>
        </m:rad>
        <m:r>
          <m:rPr>
            <m:sty m:val="p"/>
          </m:rPr>
          <m:t>=</m:t>
        </m:r>
        <m:r>
          <m:rPr>
            <m:sty m:val="p"/>
          </m:rPr>
          <m:t>−</m:t>
        </m:r>
        <m:r>
          <m:t>1.8506</m:t>
        </m:r>
      </m:oMath>
      <w:r>
        <w:t xml:space="preserve"> </w:t>
      </w:r>
      <w:r>
        <w:t xml:space="preserve">mit</w:t>
      </w:r>
      <w:r>
        <w:t xml:space="preserve"> </w:t>
      </w:r>
      <m:oMath>
        <m:r>
          <m:t>d</m:t>
        </m:r>
        <m:r>
          <m:t>f</m:t>
        </m:r>
        <m:r>
          <m:rPr>
            <m:sty m:val="p"/>
          </m:rPr>
          <m:t>=</m:t>
        </m:r>
        <m:r>
          <m:t>23</m:t>
        </m:r>
      </m:oMath>
      <w:r>
        <w:t xml:space="preserve">.</w:t>
      </w:r>
    </w:p>
    <w:p>
      <w:pPr>
        <w:pStyle w:val="BodyText"/>
      </w:pPr>
      <w:r>
        <w:t xml:space="preserve">Sie überschreitet die gerichtete Grenze -1.7139; deshalb lehnen wir</w:t>
      </w:r>
      <w:r>
        <w:t xml:space="preserve"> </w:t>
      </w:r>
      <m:oMath>
        <m:sSub>
          <m:e>
            <m:r>
              <m:t>H</m:t>
            </m:r>
          </m:e>
          <m:sub>
            <m:r>
              <m:t>0</m:t>
            </m:r>
          </m:sub>
        </m:sSub>
      </m:oMath>
      <w:r>
        <w:t xml:space="preserve"> </w:t>
      </w:r>
      <w:r>
        <w:t xml:space="preserve">bei 5% ab.</w:t>
      </w:r>
    </w:p>
    <w:p>
      <w:pPr>
        <w:pStyle w:val="BodyText"/>
      </w:pPr>
      <w:r>
        <w:t xml:space="preserve">Der Stichprobenzusammenhang ist negativ: Grössere Werte der Prädiktorvariable treten im linearen Sinn tendenziell mit kleineren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0.36</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55"/>
    <w:bookmarkStart w:id="56" w:name="t04-a03-v03-lesezeit-und-textverständnis"/>
    <w:p>
      <w:pPr>
        <w:pStyle w:val="Heading3"/>
      </w:pPr>
      <w:r>
        <w:rPr>
          <w:rStyle w:val="VerbatimChar"/>
        </w:rPr>
        <w:t xml:space="preserve">T04-A03-V03</w:t>
      </w:r>
      <w:r>
        <w:t xml:space="preserve">: Lesezeit und Textverständnis</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5.6000</m:t>
        </m:r>
        <m:r>
          <m:rPr>
            <m:sty m:val="p"/>
          </m:rPr>
          <m:t>/</m:t>
        </m:r>
        <m:d>
          <m:dPr>
            <m:begChr m:val="["/>
            <m:sepChr m:val=""/>
            <m:endChr m:val="]"/>
            <m:grow/>
          </m:dPr>
          <m:e>
            <m:r>
              <m:t>2.50</m:t>
            </m:r>
            <m:d>
              <m:dPr>
                <m:begChr m:val="("/>
                <m:sepChr m:val=""/>
                <m:endChr m:val=")"/>
                <m:grow/>
              </m:dPr>
              <m:e>
                <m:r>
                  <m:t>8.00</m:t>
                </m:r>
              </m:e>
            </m:d>
          </m:e>
        </m:d>
        <m:r>
          <m:rPr>
            <m:sty m:val="p"/>
          </m:rPr>
          <m:t>=</m:t>
        </m:r>
        <m:r>
          <m:t>0.2800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t>0.2800</m:t>
        </m:r>
        <m:rad>
          <m:radPr>
            <m:degHide m:val="on"/>
          </m:radPr>
          <m:deg/>
          <m:e>
            <m:d>
              <m:dPr>
                <m:begChr m:val="("/>
                <m:sepChr m:val=""/>
                <m:endChr m:val=")"/>
                <m:grow/>
              </m:dPr>
              <m:e>
                <m:r>
                  <m:t>30</m:t>
                </m:r>
                <m:r>
                  <m:rPr>
                    <m:sty m:val="p"/>
                  </m:rPr>
                  <m:t>−</m:t>
                </m:r>
                <m:r>
                  <m:t>2</m:t>
                </m:r>
              </m:e>
            </m:d>
            <m:r>
              <m:rPr>
                <m:sty m:val="p"/>
              </m:rPr>
              <m:t>/</m:t>
            </m:r>
            <m:d>
              <m:dPr>
                <m:begChr m:val="("/>
                <m:sepChr m:val=""/>
                <m:endChr m:val=")"/>
                <m:grow/>
              </m:dPr>
              <m:e>
                <m:r>
                  <m:t>1</m:t>
                </m:r>
                <m:r>
                  <m:rPr>
                    <m:sty m:val="p"/>
                  </m:rPr>
                  <m:t>−</m:t>
                </m:r>
                <m:sSup>
                  <m:e>
                    <m:d>
                      <m:dPr>
                        <m:begChr m:val="("/>
                        <m:sepChr m:val=""/>
                        <m:endChr m:val=")"/>
                        <m:grow/>
                      </m:dPr>
                      <m:e>
                        <m:r>
                          <m:t>0.2800</m:t>
                        </m:r>
                      </m:e>
                    </m:d>
                  </m:e>
                  <m:sup>
                    <m:r>
                      <m:t>2</m:t>
                    </m:r>
                  </m:sup>
                </m:sSup>
              </m:e>
            </m:d>
          </m:e>
        </m:rad>
        <m:r>
          <m:rPr>
            <m:sty m:val="p"/>
          </m:rPr>
          <m:t>=</m:t>
        </m:r>
        <m:r>
          <m:t>1.5434</m:t>
        </m:r>
      </m:oMath>
      <w:r>
        <w:t xml:space="preserve"> </w:t>
      </w:r>
      <w:r>
        <w:t xml:space="preserve">mit</w:t>
      </w:r>
      <w:r>
        <w:t xml:space="preserve"> </w:t>
      </w:r>
      <m:oMath>
        <m:r>
          <m:t>d</m:t>
        </m:r>
        <m:r>
          <m:t>f</m:t>
        </m:r>
        <m:r>
          <m:rPr>
            <m:sty m:val="p"/>
          </m:rPr>
          <m:t>=</m:t>
        </m:r>
        <m:r>
          <m:t>28</m:t>
        </m:r>
      </m:oMath>
      <w:r>
        <w:t xml:space="preserve">.</w:t>
      </w:r>
    </w:p>
    <w:p>
      <w:pPr>
        <w:pStyle w:val="BodyText"/>
      </w:pPr>
      <w:r>
        <w:t xml:space="preserve">Sie überschreitet nicht die gerichtete Grenze 1.7011;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positiv: Grössere Werte der Prädiktorvariable treten im linearen Sinn tendenziell mit grösseren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0.28</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56"/>
    <w:bookmarkStart w:id="57" w:name="X299bf9146575ef47853f353b8ddc85b2c773da8"/>
    <w:p>
      <w:pPr>
        <w:pStyle w:val="Heading3"/>
      </w:pPr>
      <w:r>
        <w:rPr>
          <w:rStyle w:val="VerbatimChar"/>
        </w:rPr>
        <w:t xml:space="preserve">T04-A03-V04</w:t>
      </w:r>
      <w:r>
        <w:t xml:space="preserve">: Navigationsfehler und Routenvertrauen</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5.9400</m:t>
        </m:r>
        <m:r>
          <m:rPr>
            <m:sty m:val="p"/>
          </m:rPr>
          <m:t>/</m:t>
        </m:r>
        <m:d>
          <m:dPr>
            <m:begChr m:val="["/>
            <m:sepChr m:val=""/>
            <m:endChr m:val="]"/>
            <m:grow/>
          </m:dPr>
          <m:e>
            <m:r>
              <m:t>3.00</m:t>
            </m:r>
            <m:d>
              <m:dPr>
                <m:begChr m:val="("/>
                <m:sepChr m:val=""/>
                <m:endChr m:val=")"/>
                <m:grow/>
              </m:dPr>
              <m:e>
                <m:r>
                  <m:t>6.00</m:t>
                </m:r>
              </m:e>
            </m:d>
          </m:e>
        </m:d>
        <m:r>
          <m:rPr>
            <m:sty m:val="p"/>
          </m:rPr>
          <m:t>=</m:t>
        </m:r>
        <m:r>
          <m:rPr>
            <m:sty m:val="p"/>
          </m:rPr>
          <m:t>−</m:t>
        </m:r>
        <m:r>
          <m:t>0.3300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rPr>
            <m:sty m:val="p"/>
          </m:rPr>
          <m:t>−</m:t>
        </m:r>
        <m:r>
          <m:t>0.3300</m:t>
        </m:r>
        <m:rad>
          <m:radPr>
            <m:degHide m:val="on"/>
          </m:radPr>
          <m:deg/>
          <m:e>
            <m:d>
              <m:dPr>
                <m:begChr m:val="("/>
                <m:sepChr m:val=""/>
                <m:endChr m:val=")"/>
                <m:grow/>
              </m:dPr>
              <m:e>
                <m:r>
                  <m:t>35</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0.3300</m:t>
                        </m:r>
                      </m:e>
                    </m:d>
                  </m:e>
                  <m:sup>
                    <m:r>
                      <m:t>2</m:t>
                    </m:r>
                  </m:sup>
                </m:sSup>
              </m:e>
            </m:d>
          </m:e>
        </m:rad>
        <m:r>
          <m:rPr>
            <m:sty m:val="p"/>
          </m:rPr>
          <m:t>=</m:t>
        </m:r>
        <m:r>
          <m:rPr>
            <m:sty m:val="p"/>
          </m:rPr>
          <m:t>−</m:t>
        </m:r>
        <m:r>
          <m:t>2.0082</m:t>
        </m:r>
      </m:oMath>
      <w:r>
        <w:t xml:space="preserve"> </w:t>
      </w:r>
      <w:r>
        <w:t xml:space="preserve">mit</w:t>
      </w:r>
      <w:r>
        <w:t xml:space="preserve"> </w:t>
      </w:r>
      <m:oMath>
        <m:r>
          <m:t>d</m:t>
        </m:r>
        <m:r>
          <m:t>f</m:t>
        </m:r>
        <m:r>
          <m:rPr>
            <m:sty m:val="p"/>
          </m:rPr>
          <m:t>=</m:t>
        </m:r>
        <m:r>
          <m:t>33</m:t>
        </m:r>
      </m:oMath>
      <w:r>
        <w:t xml:space="preserve">.</w:t>
      </w:r>
    </w:p>
    <w:p>
      <w:pPr>
        <w:pStyle w:val="BodyText"/>
      </w:pPr>
      <w:r>
        <w:t xml:space="preserve">Sie überschreitet die gerichtete Grenze -1.6924; deshalb lehnen wir</w:t>
      </w:r>
      <w:r>
        <w:t xml:space="preserve"> </w:t>
      </w:r>
      <m:oMath>
        <m:sSub>
          <m:e>
            <m:r>
              <m:t>H</m:t>
            </m:r>
          </m:e>
          <m:sub>
            <m:r>
              <m:t>0</m:t>
            </m:r>
          </m:sub>
        </m:sSub>
      </m:oMath>
      <w:r>
        <w:t xml:space="preserve"> </w:t>
      </w:r>
      <w:r>
        <w:t xml:space="preserve">bei 5% ab.</w:t>
      </w:r>
    </w:p>
    <w:p>
      <w:pPr>
        <w:pStyle w:val="BodyText"/>
      </w:pPr>
      <w:r>
        <w:t xml:space="preserve">Der Stichprobenzusammenhang ist negativ: Grössere Werte der Prädiktorvariable treten im linearen Sinn tendenziell mit kleineren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0.33</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57"/>
    <w:bookmarkStart w:id="58" w:name="X00ac37fb3c01ffe29bb4e7468122952d575b51b"/>
    <w:p>
      <w:pPr>
        <w:pStyle w:val="Heading3"/>
      </w:pPr>
      <w:r>
        <w:rPr>
          <w:rStyle w:val="VerbatimChar"/>
        </w:rPr>
        <w:t xml:space="preserve">T04-A03-V05</w:t>
      </w:r>
      <w:r>
        <w:t xml:space="preserve">: Workshop-Teilnahme und Konzeptverständnis</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3.6000</m:t>
        </m:r>
        <m:r>
          <m:rPr>
            <m:sty m:val="p"/>
          </m:rPr>
          <m:t>/</m:t>
        </m:r>
        <m:d>
          <m:dPr>
            <m:begChr m:val="["/>
            <m:sepChr m:val=""/>
            <m:endChr m:val="]"/>
            <m:grow/>
          </m:dPr>
          <m:e>
            <m:r>
              <m:t>1.50</m:t>
            </m:r>
            <m:d>
              <m:dPr>
                <m:begChr m:val="("/>
                <m:sepChr m:val=""/>
                <m:endChr m:val=")"/>
                <m:grow/>
              </m:dPr>
              <m:e>
                <m:r>
                  <m:t>10.00</m:t>
                </m:r>
              </m:e>
            </m:d>
          </m:e>
        </m:d>
        <m:r>
          <m:rPr>
            <m:sty m:val="p"/>
          </m:rPr>
          <m:t>=</m:t>
        </m:r>
        <m:r>
          <m:t>0.2400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t>0.2400</m:t>
        </m:r>
        <m:rad>
          <m:radPr>
            <m:degHide m:val="on"/>
          </m:radPr>
          <m:deg/>
          <m:e>
            <m:d>
              <m:dPr>
                <m:begChr m:val="("/>
                <m:sepChr m:val=""/>
                <m:endChr m:val=")"/>
                <m:grow/>
              </m:dPr>
              <m:e>
                <m:r>
                  <m:t>40</m:t>
                </m:r>
                <m:r>
                  <m:rPr>
                    <m:sty m:val="p"/>
                  </m:rPr>
                  <m:t>−</m:t>
                </m:r>
                <m:r>
                  <m:t>2</m:t>
                </m:r>
              </m:e>
            </m:d>
            <m:r>
              <m:rPr>
                <m:sty m:val="p"/>
              </m:rPr>
              <m:t>/</m:t>
            </m:r>
            <m:d>
              <m:dPr>
                <m:begChr m:val="("/>
                <m:sepChr m:val=""/>
                <m:endChr m:val=")"/>
                <m:grow/>
              </m:dPr>
              <m:e>
                <m:r>
                  <m:t>1</m:t>
                </m:r>
                <m:r>
                  <m:rPr>
                    <m:sty m:val="p"/>
                  </m:rPr>
                  <m:t>−</m:t>
                </m:r>
                <m:sSup>
                  <m:e>
                    <m:d>
                      <m:dPr>
                        <m:begChr m:val="("/>
                        <m:sepChr m:val=""/>
                        <m:endChr m:val=")"/>
                        <m:grow/>
                      </m:dPr>
                      <m:e>
                        <m:r>
                          <m:t>0.2400</m:t>
                        </m:r>
                      </m:e>
                    </m:d>
                  </m:e>
                  <m:sup>
                    <m:r>
                      <m:t>2</m:t>
                    </m:r>
                  </m:sup>
                </m:sSup>
              </m:e>
            </m:d>
          </m:e>
        </m:rad>
        <m:r>
          <m:rPr>
            <m:sty m:val="p"/>
          </m:rPr>
          <m:t>=</m:t>
        </m:r>
        <m:r>
          <m:t>1.5240</m:t>
        </m:r>
      </m:oMath>
      <w:r>
        <w:t xml:space="preserve"> </w:t>
      </w:r>
      <w:r>
        <w:t xml:space="preserve">mit</w:t>
      </w:r>
      <w:r>
        <w:t xml:space="preserve"> </w:t>
      </w:r>
      <m:oMath>
        <m:r>
          <m:t>d</m:t>
        </m:r>
        <m:r>
          <m:t>f</m:t>
        </m:r>
        <m:r>
          <m:rPr>
            <m:sty m:val="p"/>
          </m:rPr>
          <m:t>=</m:t>
        </m:r>
        <m:r>
          <m:t>38</m:t>
        </m:r>
      </m:oMath>
      <w:r>
        <w:t xml:space="preserve">.</w:t>
      </w:r>
    </w:p>
    <w:p>
      <w:pPr>
        <w:pStyle w:val="BodyText"/>
      </w:pPr>
      <w:r>
        <w:t xml:space="preserve">Sie überschreitet nicht die gerichtete Grenze 1.6860;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positiv: Grössere Werte der Prädiktorvariable treten im linearen Sinn tendenziell mit grösseren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0.24</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58"/>
    <w:bookmarkStart w:id="59" w:name="X9915c36d2fba8ba6625b9643bfcf33ef470a3ac"/>
    <w:p>
      <w:pPr>
        <w:pStyle w:val="Heading3"/>
      </w:pPr>
      <w:r>
        <w:rPr>
          <w:rStyle w:val="VerbatimChar"/>
        </w:rPr>
        <w:t xml:space="preserve">T04-A03-V06</w:t>
      </w:r>
      <w:r>
        <w:t xml:space="preserve">: Benachrichtigungen und Konzentration</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2.2000</m:t>
        </m:r>
        <m:r>
          <m:rPr>
            <m:sty m:val="p"/>
          </m:rPr>
          <m:t>/</m:t>
        </m:r>
        <m:d>
          <m:dPr>
            <m:begChr m:val="["/>
            <m:sepChr m:val=""/>
            <m:endChr m:val="]"/>
            <m:grow/>
          </m:dPr>
          <m:e>
            <m:r>
              <m:t>5.00</m:t>
            </m:r>
            <m:d>
              <m:dPr>
                <m:begChr m:val="("/>
                <m:sepChr m:val=""/>
                <m:endChr m:val=")"/>
                <m:grow/>
              </m:dPr>
              <m:e>
                <m:r>
                  <m:t>2.00</m:t>
                </m:r>
              </m:e>
            </m:d>
          </m:e>
        </m:d>
        <m:r>
          <m:rPr>
            <m:sty m:val="p"/>
          </m:rPr>
          <m:t>=</m:t>
        </m:r>
        <m:r>
          <m:rPr>
            <m:sty m:val="p"/>
          </m:rPr>
          <m:t>−</m:t>
        </m:r>
        <m:r>
          <m:t>0.2200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rPr>
            <m:sty m:val="p"/>
          </m:rPr>
          <m:t>−</m:t>
        </m:r>
        <m:r>
          <m:t>0.2200</m:t>
        </m:r>
        <m:rad>
          <m:radPr>
            <m:degHide m:val="on"/>
          </m:radPr>
          <m:deg/>
          <m:e>
            <m:d>
              <m:dPr>
                <m:begChr m:val="("/>
                <m:sepChr m:val=""/>
                <m:endChr m:val=")"/>
                <m:grow/>
              </m:dPr>
              <m:e>
                <m:r>
                  <m:t>45</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0.2200</m:t>
                        </m:r>
                      </m:e>
                    </m:d>
                  </m:e>
                  <m:sup>
                    <m:r>
                      <m:t>2</m:t>
                    </m:r>
                  </m:sup>
                </m:sSup>
              </m:e>
            </m:d>
          </m:e>
        </m:rad>
        <m:r>
          <m:rPr>
            <m:sty m:val="p"/>
          </m:rPr>
          <m:t>=</m:t>
        </m:r>
        <m:r>
          <m:rPr>
            <m:sty m:val="p"/>
          </m:rPr>
          <m:t>−</m:t>
        </m:r>
        <m:r>
          <m:t>1.4789</m:t>
        </m:r>
      </m:oMath>
      <w:r>
        <w:t xml:space="preserve"> </w:t>
      </w:r>
      <w:r>
        <w:t xml:space="preserve">mit</w:t>
      </w:r>
      <w:r>
        <w:t xml:space="preserve"> </w:t>
      </w:r>
      <m:oMath>
        <m:r>
          <m:t>d</m:t>
        </m:r>
        <m:r>
          <m:t>f</m:t>
        </m:r>
        <m:r>
          <m:rPr>
            <m:sty m:val="p"/>
          </m:rPr>
          <m:t>=</m:t>
        </m:r>
        <m:r>
          <m:t>43</m:t>
        </m:r>
      </m:oMath>
      <w:r>
        <w:t xml:space="preserve">.</w:t>
      </w:r>
    </w:p>
    <w:p>
      <w:pPr>
        <w:pStyle w:val="BodyText"/>
      </w:pPr>
      <w:r>
        <w:t xml:space="preserve">Sie überschreitet nicht die gerichtete Grenze -1.6811;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negativ: Grössere Werte der Prädiktorvariable treten im linearen Sinn tendenziell mit kleineren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0.22</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59"/>
    <w:bookmarkStart w:id="60" w:name="X0f693250906b30c7a525446ce8db3575821dac8"/>
    <w:p>
      <w:pPr>
        <w:pStyle w:val="Heading3"/>
      </w:pPr>
      <w:r>
        <w:rPr>
          <w:rStyle w:val="VerbatimChar"/>
        </w:rPr>
        <w:t xml:space="preserve">T04-A03-V07</w:t>
      </w:r>
      <w:r>
        <w:t xml:space="preserve">: Museumsbesuche und historisches Wissen</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2.8000</m:t>
        </m:r>
        <m:r>
          <m:rPr>
            <m:sty m:val="p"/>
          </m:rPr>
          <m:t>/</m:t>
        </m:r>
        <m:d>
          <m:dPr>
            <m:begChr m:val="["/>
            <m:sepChr m:val=""/>
            <m:endChr m:val="]"/>
            <m:grow/>
          </m:dPr>
          <m:e>
            <m:r>
              <m:t>2.00</m:t>
            </m:r>
            <m:d>
              <m:dPr>
                <m:begChr m:val="("/>
                <m:sepChr m:val=""/>
                <m:endChr m:val=")"/>
                <m:grow/>
              </m:dPr>
              <m:e>
                <m:r>
                  <m:t>7.00</m:t>
                </m:r>
              </m:e>
            </m:d>
          </m:e>
        </m:d>
        <m:r>
          <m:rPr>
            <m:sty m:val="p"/>
          </m:rPr>
          <m:t>=</m:t>
        </m:r>
        <m:r>
          <m:t>0.2000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t>0.2000</m:t>
        </m:r>
        <m:rad>
          <m:radPr>
            <m:degHide m:val="on"/>
          </m:radPr>
          <m:deg/>
          <m:e>
            <m:d>
              <m:dPr>
                <m:begChr m:val="("/>
                <m:sepChr m:val=""/>
                <m:endChr m:val=")"/>
                <m:grow/>
              </m:dPr>
              <m:e>
                <m:r>
                  <m:t>50</m:t>
                </m:r>
                <m:r>
                  <m:rPr>
                    <m:sty m:val="p"/>
                  </m:rPr>
                  <m:t>−</m:t>
                </m:r>
                <m:r>
                  <m:t>2</m:t>
                </m:r>
              </m:e>
            </m:d>
            <m:r>
              <m:rPr>
                <m:sty m:val="p"/>
              </m:rPr>
              <m:t>/</m:t>
            </m:r>
            <m:d>
              <m:dPr>
                <m:begChr m:val="("/>
                <m:sepChr m:val=""/>
                <m:endChr m:val=")"/>
                <m:grow/>
              </m:dPr>
              <m:e>
                <m:r>
                  <m:t>1</m:t>
                </m:r>
                <m:r>
                  <m:rPr>
                    <m:sty m:val="p"/>
                  </m:rPr>
                  <m:t>−</m:t>
                </m:r>
                <m:sSup>
                  <m:e>
                    <m:d>
                      <m:dPr>
                        <m:begChr m:val="("/>
                        <m:sepChr m:val=""/>
                        <m:endChr m:val=")"/>
                        <m:grow/>
                      </m:dPr>
                      <m:e>
                        <m:r>
                          <m:t>0.2000</m:t>
                        </m:r>
                      </m:e>
                    </m:d>
                  </m:e>
                  <m:sup>
                    <m:r>
                      <m:t>2</m:t>
                    </m:r>
                  </m:sup>
                </m:sSup>
              </m:e>
            </m:d>
          </m:e>
        </m:rad>
        <m:r>
          <m:rPr>
            <m:sty m:val="p"/>
          </m:rPr>
          <m:t>=</m:t>
        </m:r>
        <m:r>
          <m:t>1.4142</m:t>
        </m:r>
      </m:oMath>
      <w:r>
        <w:t xml:space="preserve"> </w:t>
      </w:r>
      <w:r>
        <w:t xml:space="preserve">mit</w:t>
      </w:r>
      <w:r>
        <w:t xml:space="preserve"> </w:t>
      </w:r>
      <m:oMath>
        <m:r>
          <m:t>d</m:t>
        </m:r>
        <m:r>
          <m:t>f</m:t>
        </m:r>
        <m:r>
          <m:rPr>
            <m:sty m:val="p"/>
          </m:rPr>
          <m:t>=</m:t>
        </m:r>
        <m:r>
          <m:t>48</m:t>
        </m:r>
      </m:oMath>
      <w:r>
        <w:t xml:space="preserve">.</w:t>
      </w:r>
    </w:p>
    <w:p>
      <w:pPr>
        <w:pStyle w:val="BodyText"/>
      </w:pPr>
      <w:r>
        <w:t xml:space="preserve">Sie überschreitet nicht die gerichtete Grenze 1.6772;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positiv: Grössere Werte der Prädiktorvariable treten im linearen Sinn tendenziell mit grösseren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0.20</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60"/>
    <w:bookmarkStart w:id="61" w:name="X2e870b5c02ff614d882a85f2132e4aa551b746a"/>
    <w:p>
      <w:pPr>
        <w:pStyle w:val="Heading3"/>
      </w:pPr>
      <w:r>
        <w:rPr>
          <w:rStyle w:val="VerbatimChar"/>
        </w:rPr>
        <w:t xml:space="preserve">T04-A03-V08</w:t>
      </w:r>
      <w:r>
        <w:t xml:space="preserve">: Antwortverzögerung und Zufriedenheit</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2.8800</m:t>
        </m:r>
        <m:r>
          <m:rPr>
            <m:sty m:val="p"/>
          </m:rPr>
          <m:t>/</m:t>
        </m:r>
        <m:d>
          <m:dPr>
            <m:begChr m:val="["/>
            <m:sepChr m:val=""/>
            <m:endChr m:val="]"/>
            <m:grow/>
          </m:dPr>
          <m:e>
            <m:r>
              <m:t>4.00</m:t>
            </m:r>
            <m:d>
              <m:dPr>
                <m:begChr m:val="("/>
                <m:sepChr m:val=""/>
                <m:endChr m:val=")"/>
                <m:grow/>
              </m:dPr>
              <m:e>
                <m:r>
                  <m:t>4.00</m:t>
                </m:r>
              </m:e>
            </m:d>
          </m:e>
        </m:d>
        <m:r>
          <m:rPr>
            <m:sty m:val="p"/>
          </m:rPr>
          <m:t>=</m:t>
        </m:r>
        <m:r>
          <m:rPr>
            <m:sty m:val="p"/>
          </m:rPr>
          <m:t>−</m:t>
        </m:r>
        <m:r>
          <m:t>0.1800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rPr>
            <m:sty m:val="p"/>
          </m:rPr>
          <m:t>−</m:t>
        </m:r>
        <m:r>
          <m:t>0.1800</m:t>
        </m:r>
        <m:rad>
          <m:radPr>
            <m:degHide m:val="on"/>
          </m:radPr>
          <m:deg/>
          <m:e>
            <m:d>
              <m:dPr>
                <m:begChr m:val="("/>
                <m:sepChr m:val=""/>
                <m:endChr m:val=")"/>
                <m:grow/>
              </m:dPr>
              <m:e>
                <m:r>
                  <m:t>60</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0.1800</m:t>
                        </m:r>
                      </m:e>
                    </m:d>
                  </m:e>
                  <m:sup>
                    <m:r>
                      <m:t>2</m:t>
                    </m:r>
                  </m:sup>
                </m:sSup>
              </m:e>
            </m:d>
          </m:e>
        </m:rad>
        <m:r>
          <m:rPr>
            <m:sty m:val="p"/>
          </m:rPr>
          <m:t>=</m:t>
        </m:r>
        <m:r>
          <m:rPr>
            <m:sty m:val="p"/>
          </m:rPr>
          <m:t>−</m:t>
        </m:r>
        <m:r>
          <m:t>1.3936</m:t>
        </m:r>
      </m:oMath>
      <w:r>
        <w:t xml:space="preserve"> </w:t>
      </w:r>
      <w:r>
        <w:t xml:space="preserve">mit</w:t>
      </w:r>
      <w:r>
        <w:t xml:space="preserve"> </w:t>
      </w:r>
      <m:oMath>
        <m:r>
          <m:t>d</m:t>
        </m:r>
        <m:r>
          <m:t>f</m:t>
        </m:r>
        <m:r>
          <m:rPr>
            <m:sty m:val="p"/>
          </m:rPr>
          <m:t>=</m:t>
        </m:r>
        <m:r>
          <m:t>58</m:t>
        </m:r>
      </m:oMath>
      <w:r>
        <w:t xml:space="preserve">.</w:t>
      </w:r>
    </w:p>
    <w:p>
      <w:pPr>
        <w:pStyle w:val="BodyText"/>
      </w:pPr>
      <w:r>
        <w:t xml:space="preserve">Sie überschreitet nicht die gerichtete Grenze -1.6716;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negativ: Grössere Werte der Prädiktorvariable treten im linearen Sinn tendenziell mit kleineren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0.18</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61"/>
    <w:bookmarkStart w:id="62" w:name="X90e59cf62a1a631ab7b2f9686f213d14b097328"/>
    <w:p>
      <w:pPr>
        <w:pStyle w:val="Heading3"/>
      </w:pPr>
      <w:r>
        <w:rPr>
          <w:rStyle w:val="VerbatimChar"/>
        </w:rPr>
        <w:t xml:space="preserve">T04-A03-V09</w:t>
      </w:r>
      <w:r>
        <w:t xml:space="preserve">: Übungsserien und Selbstvertrauen</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t>2.5500</m:t>
        </m:r>
        <m:r>
          <m:rPr>
            <m:sty m:val="p"/>
          </m:rPr>
          <m:t>/</m:t>
        </m:r>
        <m:d>
          <m:dPr>
            <m:begChr m:val="["/>
            <m:sepChr m:val=""/>
            <m:endChr m:val="]"/>
            <m:grow/>
          </m:dPr>
          <m:e>
            <m:r>
              <m:t>3.00</m:t>
            </m:r>
            <m:d>
              <m:dPr>
                <m:begChr m:val="("/>
                <m:sepChr m:val=""/>
                <m:endChr m:val=")"/>
                <m:grow/>
              </m:dPr>
              <m:e>
                <m:r>
                  <m:t>5.00</m:t>
                </m:r>
              </m:e>
            </m:d>
          </m:e>
        </m:d>
        <m:r>
          <m:rPr>
            <m:sty m:val="p"/>
          </m:rPr>
          <m:t>=</m:t>
        </m:r>
        <m:r>
          <m:t>0.1700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t>0.1700</m:t>
        </m:r>
        <m:rad>
          <m:radPr>
            <m:degHide m:val="on"/>
          </m:radPr>
          <m:deg/>
          <m:e>
            <m:d>
              <m:dPr>
                <m:begChr m:val="("/>
                <m:sepChr m:val=""/>
                <m:endChr m:val=")"/>
                <m:grow/>
              </m:dPr>
              <m:e>
                <m:r>
                  <m:t>80</m:t>
                </m:r>
                <m:r>
                  <m:rPr>
                    <m:sty m:val="p"/>
                  </m:rPr>
                  <m:t>−</m:t>
                </m:r>
                <m:r>
                  <m:t>2</m:t>
                </m:r>
              </m:e>
            </m:d>
            <m:r>
              <m:rPr>
                <m:sty m:val="p"/>
              </m:rPr>
              <m:t>/</m:t>
            </m:r>
            <m:d>
              <m:dPr>
                <m:begChr m:val="("/>
                <m:sepChr m:val=""/>
                <m:endChr m:val=")"/>
                <m:grow/>
              </m:dPr>
              <m:e>
                <m:r>
                  <m:t>1</m:t>
                </m:r>
                <m:r>
                  <m:rPr>
                    <m:sty m:val="p"/>
                  </m:rPr>
                  <m:t>−</m:t>
                </m:r>
                <m:sSup>
                  <m:e>
                    <m:d>
                      <m:dPr>
                        <m:begChr m:val="("/>
                        <m:sepChr m:val=""/>
                        <m:endChr m:val=")"/>
                        <m:grow/>
                      </m:dPr>
                      <m:e>
                        <m:r>
                          <m:t>0.1700</m:t>
                        </m:r>
                      </m:e>
                    </m:d>
                  </m:e>
                  <m:sup>
                    <m:r>
                      <m:t>2</m:t>
                    </m:r>
                  </m:sup>
                </m:sSup>
              </m:e>
            </m:d>
          </m:e>
        </m:rad>
        <m:r>
          <m:rPr>
            <m:sty m:val="p"/>
          </m:rPr>
          <m:t>=</m:t>
        </m:r>
        <m:r>
          <m:t>1.5236</m:t>
        </m:r>
      </m:oMath>
      <w:r>
        <w:t xml:space="preserve"> </w:t>
      </w:r>
      <w:r>
        <w:t xml:space="preserve">mit</w:t>
      </w:r>
      <w:r>
        <w:t xml:space="preserve"> </w:t>
      </w:r>
      <m:oMath>
        <m:r>
          <m:t>d</m:t>
        </m:r>
        <m:r>
          <m:t>f</m:t>
        </m:r>
        <m:r>
          <m:rPr>
            <m:sty m:val="p"/>
          </m:rPr>
          <m:t>=</m:t>
        </m:r>
        <m:r>
          <m:t>78</m:t>
        </m:r>
      </m:oMath>
      <w:r>
        <w:t xml:space="preserve">.</w:t>
      </w:r>
    </w:p>
    <w:p>
      <w:pPr>
        <w:pStyle w:val="BodyText"/>
      </w:pPr>
      <w:r>
        <w:t xml:space="preserve">Sie überschreitet nicht die gerichtete Grenze 1.6646;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positiv: Grössere Werte der Prädiktorvariable treten im linearen Sinn tendenziell mit grösseren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0.17</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62"/>
    <w:bookmarkStart w:id="63" w:name="t04-a03-v10-routenkenntnis-und-reisezeit"/>
    <w:p>
      <w:pPr>
        <w:pStyle w:val="Heading3"/>
      </w:pPr>
      <w:r>
        <w:rPr>
          <w:rStyle w:val="VerbatimChar"/>
        </w:rPr>
        <w:t xml:space="preserve">T04-A03-V10</w:t>
      </w:r>
      <w:r>
        <w:t xml:space="preserve">: Routenkenntnis und Reisezeit</w:t>
      </w:r>
    </w:p>
    <w:p>
      <w:pPr>
        <w:pStyle w:val="FirstParagraph"/>
      </w:pPr>
      <w:r>
        <w:rPr>
          <w:b/>
          <w:bCs/>
        </w:rPr>
        <w:t xml:space="preserve">Vor dem Rechnen begründen</w:t>
      </w:r>
    </w:p>
    <w:p>
      <w:pPr>
        <w:pStyle w:val="BodyText"/>
      </w:pPr>
      <w:r>
        <w:t xml:space="preserve">Zuerst gilt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r>
          <m:rPr>
            <m:sty m:val="p"/>
          </m:rPr>
          <m:t>=</m:t>
        </m:r>
        <m:r>
          <m:rPr>
            <m:sty m:val="p"/>
          </m:rPr>
          <m:t>−</m:t>
        </m:r>
        <m:r>
          <m:t>2.1000</m:t>
        </m:r>
        <m:r>
          <m:rPr>
            <m:sty m:val="p"/>
          </m:rPr>
          <m:t>/</m:t>
        </m:r>
        <m:d>
          <m:dPr>
            <m:begChr m:val="["/>
            <m:sepChr m:val=""/>
            <m:endChr m:val="]"/>
            <m:grow/>
          </m:dPr>
          <m:e>
            <m:r>
              <m:t>6.00</m:t>
            </m:r>
            <m:d>
              <m:dPr>
                <m:begChr m:val="("/>
                <m:sepChr m:val=""/>
                <m:endChr m:val=")"/>
                <m:grow/>
              </m:dPr>
              <m:e>
                <m:r>
                  <m:t>2.50</m:t>
                </m:r>
              </m:e>
            </m:d>
          </m:e>
        </m:d>
        <m:r>
          <m:rPr>
            <m:sty m:val="p"/>
          </m:rPr>
          <m:t>=</m:t>
        </m:r>
        <m:r>
          <m:rPr>
            <m:sty m:val="p"/>
          </m:rPr>
          <m:t>−</m:t>
        </m:r>
        <m:r>
          <m:t>0.1400</m:t>
        </m:r>
      </m:oMath>
      <w:r>
        <w:t xml:space="preserve">.</w:t>
      </w:r>
    </w:p>
    <w:p>
      <w:pPr>
        <w:pStyle w:val="BodyText"/>
      </w:pPr>
      <w:r>
        <w:t xml:space="preserve">Die Nullhypothese lautet</w:t>
      </w:r>
      <w:r>
        <w:t xml:space="preserve"> </w:t>
      </w:r>
      <m:oMath>
        <m:sSub>
          <m:e>
            <m:r>
              <m:t>H</m:t>
            </m:r>
          </m:e>
          <m:sub>
            <m:r>
              <m:t>0</m:t>
            </m:r>
          </m:sub>
        </m:sSub>
        <m:r>
          <m:rPr>
            <m:sty m:val="p"/>
          </m:rPr>
          <m:t>:</m:t>
        </m:r>
        <m:r>
          <m:t>ρ</m:t>
        </m:r>
        <m:r>
          <m:rPr>
            <m:sty m:val="p"/>
          </m:rPr>
          <m:t>=</m:t>
        </m:r>
        <m:r>
          <m:t>0</m:t>
        </m:r>
      </m:oMath>
      <w:r>
        <w:t xml:space="preserve">.</w:t>
      </w:r>
    </w:p>
    <w:p>
      <w:pPr>
        <w:pStyle w:val="BodyText"/>
      </w:pPr>
      <w:r>
        <w:rPr>
          <w:b/>
          <w:bCs/>
        </w:rPr>
        <w:t xml:space="preserve">Berechnung durchführen</w:t>
      </w:r>
    </w:p>
    <w:p>
      <w:pPr>
        <w:pStyle w:val="BodyText"/>
      </w:pPr>
      <w:r>
        <w:t xml:space="preserve">Die Teststatistik ist</w:t>
      </w:r>
      <w:r>
        <w:t xml:space="preserve"> </w:t>
      </w:r>
      <m:oMath>
        <m:r>
          <m:t>t</m:t>
        </m:r>
        <m:r>
          <m:rPr>
            <m:sty m:val="p"/>
          </m:rPr>
          <m:t>=</m:t>
        </m:r>
        <m:r>
          <m:rPr>
            <m:sty m:val="p"/>
          </m:rPr>
          <m:t>−</m:t>
        </m:r>
        <m:r>
          <m:t>0.1400</m:t>
        </m:r>
        <m:rad>
          <m:radPr>
            <m:degHide m:val="on"/>
          </m:radPr>
          <m:deg/>
          <m:e>
            <m:d>
              <m:dPr>
                <m:begChr m:val="("/>
                <m:sepChr m:val=""/>
                <m:endChr m:val=")"/>
                <m:grow/>
              </m:dPr>
              <m:e>
                <m:r>
                  <m:t>100</m:t>
                </m:r>
                <m:r>
                  <m:rPr>
                    <m:sty m:val="p"/>
                  </m:rPr>
                  <m:t>−</m:t>
                </m:r>
                <m:r>
                  <m:t>2</m:t>
                </m:r>
              </m:e>
            </m:d>
            <m:r>
              <m:rPr>
                <m:sty m:val="p"/>
              </m:rPr>
              <m:t>/</m:t>
            </m:r>
            <m:d>
              <m:dPr>
                <m:begChr m:val="("/>
                <m:sepChr m:val=""/>
                <m:endChr m:val=")"/>
                <m:grow/>
              </m:dPr>
              <m:e>
                <m:r>
                  <m:t>1</m:t>
                </m:r>
                <m:r>
                  <m:rPr>
                    <m:sty m:val="p"/>
                  </m:rPr>
                  <m:t>−</m:t>
                </m:r>
                <m:sSup>
                  <m:e>
                    <m:d>
                      <m:dPr>
                        <m:begChr m:val="("/>
                        <m:sepChr m:val=""/>
                        <m:endChr m:val=")"/>
                        <m:grow/>
                      </m:dPr>
                      <m:e>
                        <m:r>
                          <m:rPr>
                            <m:sty m:val="p"/>
                          </m:rPr>
                          <m:t>−</m:t>
                        </m:r>
                        <m:r>
                          <m:t>0.1400</m:t>
                        </m:r>
                      </m:e>
                    </m:d>
                  </m:e>
                  <m:sup>
                    <m:r>
                      <m:t>2</m:t>
                    </m:r>
                  </m:sup>
                </m:sSup>
              </m:e>
            </m:d>
          </m:e>
        </m:rad>
        <m:r>
          <m:rPr>
            <m:sty m:val="p"/>
          </m:rPr>
          <m:t>=</m:t>
        </m:r>
        <m:r>
          <m:rPr>
            <m:sty m:val="p"/>
          </m:rPr>
          <m:t>−</m:t>
        </m:r>
        <m:r>
          <m:t>1.3997</m:t>
        </m:r>
      </m:oMath>
      <w:r>
        <w:t xml:space="preserve"> </w:t>
      </w:r>
      <w:r>
        <w:t xml:space="preserve">mit</w:t>
      </w:r>
      <w:r>
        <w:t xml:space="preserve"> </w:t>
      </w:r>
      <m:oMath>
        <m:r>
          <m:t>d</m:t>
        </m:r>
        <m:r>
          <m:t>f</m:t>
        </m:r>
        <m:r>
          <m:rPr>
            <m:sty m:val="p"/>
          </m:rPr>
          <m:t>=</m:t>
        </m:r>
        <m:r>
          <m:t>98</m:t>
        </m:r>
      </m:oMath>
      <w:r>
        <w:t xml:space="preserve">.</w:t>
      </w:r>
    </w:p>
    <w:p>
      <w:pPr>
        <w:pStyle w:val="BodyText"/>
      </w:pPr>
      <w:r>
        <w:t xml:space="preserve">Sie überschreitet nicht die gerichtete Grenze -1.6606; deshalb lehnen wir</w:t>
      </w:r>
      <w:r>
        <w:t xml:space="preserve"> </w:t>
      </w:r>
      <m:oMath>
        <m:sSub>
          <m:e>
            <m:r>
              <m:t>H</m:t>
            </m:r>
          </m:e>
          <m:sub>
            <m:r>
              <m:t>0</m:t>
            </m:r>
          </m:sub>
        </m:sSub>
      </m:oMath>
      <w:r>
        <w:t xml:space="preserve"> </w:t>
      </w:r>
      <w:r>
        <w:t xml:space="preserve">bei 5% nicht ab.</w:t>
      </w:r>
    </w:p>
    <w:p>
      <w:pPr>
        <w:pStyle w:val="BodyText"/>
      </w:pPr>
      <w:r>
        <w:t xml:space="preserve">Der Stichprobenzusammenhang ist negativ: Grössere Werte der Prädiktorvariable treten im linearen Sinn tendenziell mit kleineren Werten der Ergebnisvariable auf.</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r>
              <m:t>r</m:t>
            </m:r>
          </m:e>
        </m:d>
        <m:r>
          <m:rPr>
            <m:sty m:val="p"/>
          </m:rPr>
          <m:t>=</m:t>
        </m:r>
        <m:r>
          <m:t>0.14</m:t>
        </m:r>
      </m:oMath>
      <w:r>
        <w:t xml:space="preserve"> </w:t>
      </w:r>
      <w:r>
        <w:t xml:space="preserve">beschreibt den beobachteten linearen Zusammenhang.</w:t>
      </w:r>
    </w:p>
    <w:p>
      <w:pPr>
        <w:pStyle w:val="BodyText"/>
      </w:pPr>
      <w:r>
        <w:t xml:space="preserve">Statistische Evidenz hängt von</w:t>
      </w:r>
      <w:r>
        <w:t xml:space="preserve"> </w:t>
      </w:r>
      <m:oMath>
        <m:r>
          <m:t>r</m:t>
        </m:r>
      </m:oMath>
      <w:r>
        <w:t xml:space="preserve"> </w:t>
      </w:r>
      <w:r>
        <w:t xml:space="preserve">und</w:t>
      </w:r>
      <w:r>
        <w:t xml:space="preserve"> </w:t>
      </w:r>
      <m:oMath>
        <m:r>
          <m:t>n</m:t>
        </m:r>
      </m:oMath>
      <w:r>
        <w:t xml:space="preserve"> </w:t>
      </w:r>
      <w:r>
        <w:t xml:space="preserve">ab; praktische Bedeutung zusätzlich von Variablen, Folgen, Präzision und Design.</w:t>
      </w:r>
    </w:p>
    <w:p>
      <w:pPr>
        <w:pStyle w:val="BodyText"/>
      </w:pPr>
      <w:r>
        <w:t xml:space="preserve">Auch ein signifikanter Koeffizient würde keine Kausalität belegen.</w:t>
      </w:r>
    </w:p>
    <w:bookmarkEnd w:id="63"/>
    <w:bookmarkEnd w:id="64"/>
    <w:bookmarkStart w:id="75" w:name="X13bd16feae1e35454d0e4912bb760cb5f399e36"/>
    <w:p>
      <w:pPr>
        <w:pStyle w:val="Heading2"/>
      </w:pPr>
      <w:r>
        <w:t xml:space="preserve">A04: Spearman-Korrelation aus getrennten Rangfolgen</w:t>
      </w:r>
    </w:p>
    <w:bookmarkStart w:id="65" w:name="X90fc841b83343b2e037a335e7b77835c10331da"/>
    <w:p>
      <w:pPr>
        <w:pStyle w:val="Heading3"/>
      </w:pPr>
      <w:r>
        <w:rPr>
          <w:rStyle w:val="VerbatimChar"/>
        </w:rPr>
        <w:t xml:space="preserve">T04-A04-V01</w:t>
      </w:r>
      <w:r>
        <w:t xml:space="preserve">: Lesehäufigkeit und Wortschatzrang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t>0</m:t>
            </m:r>
            <m:r>
              <m:rPr>
                <m:sty m:val="p"/>
              </m:rPr>
              <m:t>,</m:t>
            </m:r>
            <m:r>
              <m:rPr>
                <m:sty m:val="p"/>
              </m:rPr>
              <m:t>−</m:t>
            </m:r>
            <m:r>
              <m:t>1</m:t>
            </m:r>
            <m:r>
              <m:rPr>
                <m:sty m:val="p"/>
              </m:rPr>
              <m:t>,</m:t>
            </m:r>
            <m:r>
              <m:t>1</m:t>
            </m:r>
            <m:r>
              <m:rPr>
                <m:sty m:val="p"/>
              </m:rPr>
              <m:t>,</m:t>
            </m:r>
            <m:r>
              <m:rPr>
                <m:sty m:val="p"/>
              </m:rPr>
              <m:t>−</m:t>
            </m:r>
            <m:r>
              <m:t>1</m:t>
            </m:r>
            <m:r>
              <m:rPr>
                <m:sty m:val="p"/>
              </m:rPr>
              <m:t>,</m:t>
            </m:r>
            <m:r>
              <m:t>1</m:t>
            </m:r>
            <m:r>
              <m:rPr>
                <m:sty m:val="p"/>
              </m:rPr>
              <m:t>,</m:t>
            </m:r>
            <m:r>
              <m:t>0</m:t>
            </m:r>
          </m:e>
        </m:d>
      </m:oMath>
      <w:r>
        <w:t xml:space="preserve">; somit gilt</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6</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t>0.8857</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0.8857</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65"/>
    <w:bookmarkStart w:id="66" w:name="Xed384988a099aaa40afff37f0eb09e590dbd77c"/>
    <w:p>
      <w:pPr>
        <w:pStyle w:val="Heading3"/>
      </w:pPr>
      <w:r>
        <w:rPr>
          <w:rStyle w:val="VerbatimChar"/>
        </w:rPr>
        <w:t xml:space="preserve">T04-A04-V02</w:t>
      </w:r>
      <w:r>
        <w:t xml:space="preserve">: Sucheffizienz und Genauigkeitsrang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rPr>
                <m:sty m:val="p"/>
              </m:rPr>
              <m:t>−</m:t>
            </m:r>
            <m:r>
              <m:t>1</m:t>
            </m:r>
            <m:r>
              <m:rPr>
                <m:sty m:val="p"/>
              </m:rPr>
              <m:t>,</m:t>
            </m:r>
            <m:r>
              <m:t>1</m:t>
            </m:r>
            <m:r>
              <m:rPr>
                <m:sty m:val="p"/>
              </m:rPr>
              <m:t>,</m:t>
            </m:r>
            <m:r>
              <m:rPr>
                <m:sty m:val="p"/>
              </m:rPr>
              <m:t>−</m:t>
            </m:r>
            <m:r>
              <m:t>1</m:t>
            </m:r>
            <m:r>
              <m:rPr>
                <m:sty m:val="p"/>
              </m:rPr>
              <m:t>,</m:t>
            </m:r>
            <m:r>
              <m:t>1</m:t>
            </m:r>
            <m:r>
              <m:rPr>
                <m:sty m:val="p"/>
              </m:rPr>
              <m:t>,</m:t>
            </m:r>
            <m:r>
              <m:rPr>
                <m:sty m:val="p"/>
              </m:rPr>
              <m:t>−</m:t>
            </m:r>
            <m:r>
              <m:t>1</m:t>
            </m:r>
            <m:r>
              <m:rPr>
                <m:sty m:val="p"/>
              </m:rPr>
              <m:t>,</m:t>
            </m:r>
            <m:r>
              <m:t>1</m:t>
            </m:r>
            <m:r>
              <m:rPr>
                <m:sty m:val="p"/>
              </m:rPr>
              <m:t>,</m:t>
            </m:r>
            <m:r>
              <m:t>0</m:t>
            </m:r>
          </m:e>
        </m:d>
      </m:oMath>
      <w:r>
        <w:t xml:space="preserve">; somit gilt</w:t>
      </w:r>
      <w:r>
        <w:t xml:space="preserve"> </w:t>
      </w:r>
      <m:oMath>
        <m:r>
          <m:rPr>
            <m:sty m:val="p"/>
          </m:rPr>
          <m:t>∑</m:t>
        </m:r>
        <m:sSubSup>
          <m:e>
            <m:r>
              <m:t>d</m:t>
            </m:r>
          </m:e>
          <m:sub>
            <m:r>
              <m:t>i</m:t>
            </m:r>
          </m:sub>
          <m:sup>
            <m:r>
              <m:t>2</m:t>
            </m:r>
          </m:sup>
        </m:sSubSup>
        <m:r>
          <m:rPr>
            <m:sty m:val="p"/>
          </m:rPr>
          <m:t>=</m:t>
        </m:r>
        <m:r>
          <m:t>6</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7</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6</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0.8929</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0.8929</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66"/>
    <w:bookmarkStart w:id="67" w:name="X832c1847d7afb1e51b1bef25b1764f7e015ed46"/>
    <w:p>
      <w:pPr>
        <w:pStyle w:val="Heading3"/>
      </w:pPr>
      <w:r>
        <w:rPr>
          <w:rStyle w:val="VerbatimChar"/>
        </w:rPr>
        <w:t xml:space="preserve">T04-A04-V03</w:t>
      </w:r>
      <w:r>
        <w:t xml:space="preserve">: Übungsrang und Rang des logischen Denkens</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t>0</m:t>
            </m:r>
            <m:r>
              <m:rPr>
                <m:sty m:val="p"/>
              </m:rPr>
              <m:t>,</m:t>
            </m:r>
            <m:r>
              <m:t>0</m:t>
            </m:r>
            <m:r>
              <m:rPr>
                <m:sty m:val="p"/>
              </m:rPr>
              <m:t>,</m:t>
            </m:r>
            <m:r>
              <m:rPr>
                <m:sty m:val="p"/>
              </m:rPr>
              <m:t>−</m:t>
            </m:r>
            <m:r>
              <m:t>1</m:t>
            </m:r>
            <m:r>
              <m:rPr>
                <m:sty m:val="p"/>
              </m:rPr>
              <m:t>,</m:t>
            </m:r>
            <m:r>
              <m:t>1</m:t>
            </m:r>
            <m:r>
              <m:rPr>
                <m:sty m:val="p"/>
              </m:rPr>
              <m:t>,</m:t>
            </m:r>
            <m:r>
              <m:rPr>
                <m:sty m:val="p"/>
              </m:rPr>
              <m:t>−</m:t>
            </m:r>
            <m:r>
              <m:t>1</m:t>
            </m:r>
            <m:r>
              <m:rPr>
                <m:sty m:val="p"/>
              </m:rPr>
              <m:t>,</m:t>
            </m:r>
            <m:r>
              <m:t>1</m:t>
            </m:r>
          </m:e>
        </m:d>
      </m:oMath>
      <w:r>
        <w:t xml:space="preserve">; somit gilt</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6</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t>0.8857</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0.8857</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67"/>
    <w:bookmarkStart w:id="68" w:name="X8b1f87788b36ea9fc175d32c1dd38dd136471d7"/>
    <w:p>
      <w:pPr>
        <w:pStyle w:val="Heading3"/>
      </w:pPr>
      <w:r>
        <w:rPr>
          <w:rStyle w:val="VerbatimChar"/>
        </w:rPr>
        <w:t xml:space="preserve">T04-A04-V04</w:t>
      </w:r>
      <w:r>
        <w:t xml:space="preserve">: Teilnahmerang und Selbstvertrauensrang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t>0</m:t>
            </m:r>
            <m:r>
              <m:rPr>
                <m:sty m:val="p"/>
              </m:rPr>
              <m:t>,</m:t>
            </m:r>
            <m:r>
              <m:rPr>
                <m:sty m:val="p"/>
              </m:rPr>
              <m:t>−</m:t>
            </m:r>
            <m:r>
              <m:t>1</m:t>
            </m:r>
            <m:r>
              <m:rPr>
                <m:sty m:val="p"/>
              </m:rPr>
              <m:t>,</m:t>
            </m:r>
            <m:r>
              <m:t>1</m:t>
            </m:r>
            <m:r>
              <m:rPr>
                <m:sty m:val="p"/>
              </m:rPr>
              <m:t>,</m:t>
            </m:r>
            <m:r>
              <m:t>0</m:t>
            </m:r>
            <m:r>
              <m:rPr>
                <m:sty m:val="p"/>
              </m:rPr>
              <m:t>,</m:t>
            </m:r>
            <m:r>
              <m:rPr>
                <m:sty m:val="p"/>
              </m:rPr>
              <m:t>−</m:t>
            </m:r>
            <m:r>
              <m:t>1</m:t>
            </m:r>
            <m:r>
              <m:rPr>
                <m:sty m:val="p"/>
              </m:rPr>
              <m:t>,</m:t>
            </m:r>
            <m:r>
              <m:rPr>
                <m:sty m:val="p"/>
              </m:rPr>
              <m:t>−</m:t>
            </m:r>
            <m:r>
              <m:t>1</m:t>
            </m:r>
            <m:r>
              <m:rPr>
                <m:sty m:val="p"/>
              </m:rPr>
              <m:t>,</m:t>
            </m:r>
            <m:r>
              <m:t>2</m:t>
            </m:r>
          </m:e>
        </m:d>
      </m:oMath>
      <w:r>
        <w:t xml:space="preserve">; somit gilt</w:t>
      </w:r>
      <w:r>
        <w:t xml:space="preserve"> </w:t>
      </w:r>
      <m:oMath>
        <m:r>
          <m:rPr>
            <m:sty m:val="p"/>
          </m:rPr>
          <m:t>∑</m:t>
        </m:r>
        <m:sSubSup>
          <m:e>
            <m:r>
              <m:t>d</m:t>
            </m:r>
          </m:e>
          <m:sub>
            <m:r>
              <m:t>i</m:t>
            </m:r>
          </m:sub>
          <m:sup>
            <m:r>
              <m:t>2</m:t>
            </m:r>
          </m:sup>
        </m:sSubSup>
        <m:r>
          <m:rPr>
            <m:sty m:val="p"/>
          </m:rPr>
          <m:t>=</m:t>
        </m:r>
        <m:r>
          <m:t>8</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7</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8</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0.8571</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0.8571</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68"/>
    <w:bookmarkStart w:id="69" w:name="Xe65bd6c3d28e8bc036497bac9c5b245f652310d"/>
    <w:p>
      <w:pPr>
        <w:pStyle w:val="Heading3"/>
      </w:pPr>
      <w:r>
        <w:rPr>
          <w:rStyle w:val="VerbatimChar"/>
        </w:rPr>
        <w:t xml:space="preserve">T04-A04-V05</w:t>
      </w:r>
      <w:r>
        <w:t xml:space="preserve">: Navigationsfähigkeit und Fehlerrang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rPr>
                <m:sty m:val="p"/>
              </m:rPr>
              <m:t>−</m:t>
            </m:r>
            <m:r>
              <m:t>5</m:t>
            </m:r>
            <m:r>
              <m:rPr>
                <m:sty m:val="p"/>
              </m:rPr>
              <m:t>,</m:t>
            </m:r>
            <m:r>
              <m:rPr>
                <m:sty m:val="p"/>
              </m:rPr>
              <m:t>−</m:t>
            </m:r>
            <m:r>
              <m:t>3</m:t>
            </m:r>
            <m:r>
              <m:rPr>
                <m:sty m:val="p"/>
              </m:rPr>
              <m:t>,</m:t>
            </m:r>
            <m:r>
              <m:t>0</m:t>
            </m:r>
            <m:r>
              <m:rPr>
                <m:sty m:val="p"/>
              </m:rPr>
              <m:t>,</m:t>
            </m:r>
            <m:r>
              <m:t>0</m:t>
            </m:r>
            <m:r>
              <m:rPr>
                <m:sty m:val="p"/>
              </m:rPr>
              <m:t>,</m:t>
            </m:r>
            <m:r>
              <m:t>3</m:t>
            </m:r>
            <m:r>
              <m:rPr>
                <m:sty m:val="p"/>
              </m:rPr>
              <m:t>,</m:t>
            </m:r>
            <m:r>
              <m:t>5</m:t>
            </m:r>
          </m:e>
        </m:d>
      </m:oMath>
      <w:r>
        <w:t xml:space="preserve">; somit gilt</w:t>
      </w:r>
      <w:r>
        <w:t xml:space="preserve"> </w:t>
      </w:r>
      <m:oMath>
        <m:r>
          <m:rPr>
            <m:sty m:val="p"/>
          </m:rPr>
          <m:t>∑</m:t>
        </m:r>
        <m:sSubSup>
          <m:e>
            <m:r>
              <m:t>d</m:t>
            </m:r>
          </m:e>
          <m:sub>
            <m:r>
              <m:t>i</m:t>
            </m:r>
          </m:sub>
          <m:sup>
            <m:r>
              <m:t>2</m:t>
            </m:r>
          </m:sup>
        </m:sSubSup>
        <m:r>
          <m:rPr>
            <m:sty m:val="p"/>
          </m:rPr>
          <m:t>=</m:t>
        </m:r>
        <m:r>
          <m:t>68</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6</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68</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rPr>
            <m:sty m:val="p"/>
          </m:rPr>
          <m:t>−</m:t>
        </m:r>
        <m:r>
          <m:t>0.9429</m:t>
        </m:r>
      </m:oMath>
      <w:r>
        <w:t xml:space="preserve">.</w:t>
      </w:r>
    </w:p>
    <w:p>
      <w:pPr>
        <w:pStyle w:val="BodyText"/>
      </w:pPr>
      <w:r>
        <w:t xml:space="preserve">Das negative Vorzeichen bedeutet, dass Fälle mit höheren Rängen bei einer Variable tendenziell tiefere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0.9429</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69"/>
    <w:bookmarkStart w:id="70" w:name="Xfe5245b1f6125fd5ee29dda571ab6cf955545cc"/>
    <w:p>
      <w:pPr>
        <w:pStyle w:val="Heading3"/>
      </w:pPr>
      <w:r>
        <w:rPr>
          <w:rStyle w:val="VerbatimChar"/>
        </w:rPr>
        <w:t xml:space="preserve">T04-A04-V06</w:t>
      </w:r>
      <w:r>
        <w:t xml:space="preserve">: Antwortverzögerung und Zufriedenheitsrang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rPr>
                <m:sty m:val="p"/>
              </m:rPr>
              <m:t>−</m:t>
            </m:r>
            <m:r>
              <m:t>6</m:t>
            </m:r>
            <m:r>
              <m:rPr>
                <m:sty m:val="p"/>
              </m:rPr>
              <m:t>,</m:t>
            </m:r>
            <m:r>
              <m:rPr>
                <m:sty m:val="p"/>
              </m:rPr>
              <m:t>−</m:t>
            </m:r>
            <m:r>
              <m:t>3</m:t>
            </m:r>
            <m:r>
              <m:rPr>
                <m:sty m:val="p"/>
              </m:rPr>
              <m:t>,</m:t>
            </m:r>
            <m:r>
              <m:rPr>
                <m:sty m:val="p"/>
              </m:rPr>
              <m:t>−</m:t>
            </m:r>
            <m:r>
              <m:t>3</m:t>
            </m:r>
            <m:r>
              <m:rPr>
                <m:sty m:val="p"/>
              </m:rPr>
              <m:t>,</m:t>
            </m:r>
            <m:r>
              <m:t>0</m:t>
            </m:r>
            <m:r>
              <m:rPr>
                <m:sty m:val="p"/>
              </m:rPr>
              <m:t>,</m:t>
            </m:r>
            <m:r>
              <m:t>2</m:t>
            </m:r>
            <m:r>
              <m:rPr>
                <m:sty m:val="p"/>
              </m:rPr>
              <m:t>,</m:t>
            </m:r>
            <m:r>
              <m:t>5</m:t>
            </m:r>
            <m:r>
              <m:rPr>
                <m:sty m:val="p"/>
              </m:rPr>
              <m:t>,</m:t>
            </m:r>
            <m:r>
              <m:t>5</m:t>
            </m:r>
          </m:e>
        </m:d>
      </m:oMath>
      <w:r>
        <w:t xml:space="preserve">; somit gilt</w:t>
      </w:r>
      <w:r>
        <w:t xml:space="preserve"> </w:t>
      </w:r>
      <m:oMath>
        <m:r>
          <m:rPr>
            <m:sty m:val="p"/>
          </m:rPr>
          <m:t>∑</m:t>
        </m:r>
        <m:sSubSup>
          <m:e>
            <m:r>
              <m:t>d</m:t>
            </m:r>
          </m:e>
          <m:sub>
            <m:r>
              <m:t>i</m:t>
            </m:r>
          </m:sub>
          <m:sup>
            <m:r>
              <m:t>2</m:t>
            </m:r>
          </m:sup>
        </m:sSubSup>
        <m:r>
          <m:rPr>
            <m:sty m:val="p"/>
          </m:rPr>
          <m:t>=</m:t>
        </m:r>
        <m:r>
          <m:t>108</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7</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108</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rPr>
            <m:sty m:val="p"/>
          </m:rPr>
          <m:t>−</m:t>
        </m:r>
        <m:r>
          <m:t>0.9286</m:t>
        </m:r>
      </m:oMath>
      <w:r>
        <w:t xml:space="preserve">.</w:t>
      </w:r>
    </w:p>
    <w:p>
      <w:pPr>
        <w:pStyle w:val="BodyText"/>
      </w:pPr>
      <w:r>
        <w:t xml:space="preserve">Das negative Vorzeichen bedeutet, dass Fälle mit höheren Rängen bei einer Variable tendenziell tiefere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0.9286</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70"/>
    <w:bookmarkStart w:id="71" w:name="X1f04b48e72be020616e0d918cea14545b754d84"/>
    <w:p>
      <w:pPr>
        <w:pStyle w:val="Heading3"/>
      </w:pPr>
      <w:r>
        <w:rPr>
          <w:rStyle w:val="VerbatimChar"/>
        </w:rPr>
        <w:t xml:space="preserve">T04-A04-V07</w:t>
      </w:r>
      <w:r>
        <w:t xml:space="preserve">: Museumsbesuche und Wissensrang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rPr>
                <m:sty m:val="p"/>
              </m:rPr>
              <m:t>−</m:t>
            </m:r>
            <m:r>
              <m:t>1</m:t>
            </m:r>
            <m:r>
              <m:rPr>
                <m:sty m:val="p"/>
              </m:rPr>
              <m:t>,</m:t>
            </m:r>
            <m:r>
              <m:t>1</m:t>
            </m:r>
            <m:r>
              <m:rPr>
                <m:sty m:val="p"/>
              </m:rPr>
              <m:t>,</m:t>
            </m:r>
            <m:r>
              <m:t>0</m:t>
            </m:r>
            <m:r>
              <m:rPr>
                <m:sty m:val="p"/>
              </m:rPr>
              <m:t>,</m:t>
            </m:r>
            <m:r>
              <m:rPr>
                <m:sty m:val="p"/>
              </m:rPr>
              <m:t>−</m:t>
            </m:r>
            <m:r>
              <m:t>1</m:t>
            </m:r>
            <m:r>
              <m:rPr>
                <m:sty m:val="p"/>
              </m:rPr>
              <m:t>,</m:t>
            </m:r>
            <m:r>
              <m:t>1</m:t>
            </m:r>
            <m:r>
              <m:rPr>
                <m:sty m:val="p"/>
              </m:rPr>
              <m:t>,</m:t>
            </m:r>
            <m:r>
              <m:t>0</m:t>
            </m:r>
          </m:e>
        </m:d>
      </m:oMath>
      <w:r>
        <w:t xml:space="preserve">; somit gilt</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6</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t>0.8857</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0.8857</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71"/>
    <w:bookmarkStart w:id="72" w:name="X9a7d33820478a4f4d3c0b121fb9824b5b859613"/>
    <w:p>
      <w:pPr>
        <w:pStyle w:val="Heading3"/>
      </w:pPr>
      <w:r>
        <w:rPr>
          <w:rStyle w:val="VerbatimChar"/>
        </w:rPr>
        <w:t xml:space="preserve">T04-A04-V08</w:t>
      </w:r>
      <w:r>
        <w:t xml:space="preserve">: Regelmässigkeit des Übens und Behaltensrang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t>0</m:t>
            </m:r>
            <m:r>
              <m:rPr>
                <m:sty m:val="p"/>
              </m:rPr>
              <m:t>,</m:t>
            </m:r>
            <m:r>
              <m:t>0</m:t>
            </m:r>
            <m:r>
              <m:rPr>
                <m:sty m:val="p"/>
              </m:rPr>
              <m:t>,</m:t>
            </m:r>
            <m:r>
              <m:rPr>
                <m:sty m:val="p"/>
              </m:rPr>
              <m:t>−</m:t>
            </m:r>
            <m:r>
              <m:t>1</m:t>
            </m:r>
            <m:r>
              <m:rPr>
                <m:sty m:val="p"/>
              </m:rPr>
              <m:t>,</m:t>
            </m:r>
            <m:r>
              <m:t>1</m:t>
            </m:r>
            <m:r>
              <m:rPr>
                <m:sty m:val="p"/>
              </m:rPr>
              <m:t>,</m:t>
            </m:r>
            <m:r>
              <m:t>0</m:t>
            </m:r>
            <m:r>
              <m:rPr>
                <m:sty m:val="p"/>
              </m:rPr>
              <m:t>,</m:t>
            </m:r>
            <m:r>
              <m:rPr>
                <m:sty m:val="p"/>
              </m:rPr>
              <m:t>−</m:t>
            </m:r>
            <m:r>
              <m:t>1</m:t>
            </m:r>
            <m:r>
              <m:rPr>
                <m:sty m:val="p"/>
              </m:rPr>
              <m:t>,</m:t>
            </m:r>
            <m:r>
              <m:t>1</m:t>
            </m:r>
          </m:e>
        </m:d>
      </m:oMath>
      <w:r>
        <w:t xml:space="preserve">; somit gilt</w:t>
      </w:r>
      <w:r>
        <w:t xml:space="preserve"> </w:t>
      </w:r>
      <m:oMath>
        <m:r>
          <m:rPr>
            <m:sty m:val="p"/>
          </m:rPr>
          <m:t>∑</m:t>
        </m:r>
        <m:sSubSup>
          <m:e>
            <m:r>
              <m:t>d</m:t>
            </m:r>
          </m:e>
          <m:sub>
            <m:r>
              <m:t>i</m:t>
            </m:r>
          </m:sub>
          <m:sup>
            <m:r>
              <m:t>2</m:t>
            </m:r>
          </m:sup>
        </m:sSubSup>
        <m:r>
          <m:rPr>
            <m:sty m:val="p"/>
          </m:rPr>
          <m:t>=</m:t>
        </m:r>
        <m:r>
          <m:t>4</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7</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4</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0.9286</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0.9286</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72"/>
    <w:bookmarkStart w:id="73" w:name="X9e8e1cf265fa46575f37f0530134226f4751b09"/>
    <w:p>
      <w:pPr>
        <w:pStyle w:val="Heading3"/>
      </w:pPr>
      <w:r>
        <w:rPr>
          <w:rStyle w:val="VerbatimChar"/>
        </w:rPr>
        <w:t xml:space="preserve">T04-A04-V09</w:t>
      </w:r>
      <w:r>
        <w:t xml:space="preserve">: Aufgabenwechsel und Konzentrationsrang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rPr>
                <m:sty m:val="p"/>
              </m:rPr>
              <m:t>−</m:t>
            </m:r>
            <m:r>
              <m:t>4</m:t>
            </m:r>
            <m:r>
              <m:rPr>
                <m:sty m:val="p"/>
              </m:rPr>
              <m:t>,</m:t>
            </m:r>
            <m:r>
              <m:rPr>
                <m:sty m:val="p"/>
              </m:rPr>
              <m:t>−</m:t>
            </m:r>
            <m:r>
              <m:t>4</m:t>
            </m:r>
            <m:r>
              <m:rPr>
                <m:sty m:val="p"/>
              </m:rPr>
              <m:t>,</m:t>
            </m:r>
            <m:r>
              <m:rPr>
                <m:sty m:val="p"/>
              </m:rPr>
              <m:t>−</m:t>
            </m:r>
            <m:r>
              <m:t>1</m:t>
            </m:r>
            <m:r>
              <m:rPr>
                <m:sty m:val="p"/>
              </m:rPr>
              <m:t>,</m:t>
            </m:r>
            <m:r>
              <m:t>1</m:t>
            </m:r>
            <m:r>
              <m:rPr>
                <m:sty m:val="p"/>
              </m:rPr>
              <m:t>,</m:t>
            </m:r>
            <m:r>
              <m:t>4</m:t>
            </m:r>
            <m:r>
              <m:rPr>
                <m:sty m:val="p"/>
              </m:rPr>
              <m:t>,</m:t>
            </m:r>
            <m:r>
              <m:t>4</m:t>
            </m:r>
          </m:e>
        </m:d>
      </m:oMath>
      <w:r>
        <w:t xml:space="preserve">; somit gilt</w:t>
      </w:r>
      <w:r>
        <w:t xml:space="preserve"> </w:t>
      </w:r>
      <m:oMath>
        <m:r>
          <m:rPr>
            <m:sty m:val="p"/>
          </m:rPr>
          <m:t>∑</m:t>
        </m:r>
        <m:sSubSup>
          <m:e>
            <m:r>
              <m:t>d</m:t>
            </m:r>
          </m:e>
          <m:sub>
            <m:r>
              <m:t>i</m:t>
            </m:r>
          </m:sub>
          <m:sup>
            <m:r>
              <m:t>2</m:t>
            </m:r>
          </m:sup>
        </m:sSubSup>
        <m:r>
          <m:rPr>
            <m:sty m:val="p"/>
          </m:rPr>
          <m:t>=</m:t>
        </m:r>
        <m:r>
          <m:t>66</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6</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66</m:t>
            </m:r>
          </m:e>
        </m:d>
        <m:r>
          <m:rPr>
            <m:sty m:val="p"/>
          </m:rPr>
          <m:t>/</m:t>
        </m:r>
        <m:d>
          <m:dPr>
            <m:begChr m:val="["/>
            <m:sepChr m:val=""/>
            <m:endChr m:val="]"/>
            <m:grow/>
          </m:dPr>
          <m:e>
            <m:r>
              <m:t>6</m:t>
            </m:r>
            <m:d>
              <m:dPr>
                <m:begChr m:val="("/>
                <m:sepChr m:val=""/>
                <m:endChr m:val=")"/>
                <m:grow/>
              </m:dPr>
              <m:e>
                <m:sSup>
                  <m:e>
                    <m:r>
                      <m:t>6</m:t>
                    </m:r>
                  </m:e>
                  <m:sup>
                    <m:r>
                      <m:t>2</m:t>
                    </m:r>
                  </m:sup>
                </m:sSup>
                <m:r>
                  <m:rPr>
                    <m:sty m:val="p"/>
                  </m:rPr>
                  <m:t>−</m:t>
                </m:r>
                <m:r>
                  <m:t>1</m:t>
                </m:r>
              </m:e>
            </m:d>
          </m:e>
        </m:d>
        <m:r>
          <m:rPr>
            <m:sty m:val="p"/>
          </m:rPr>
          <m:t>=</m:t>
        </m:r>
        <m:r>
          <m:rPr>
            <m:sty m:val="p"/>
          </m:rPr>
          <m:t>−</m:t>
        </m:r>
        <m:r>
          <m:t>0.8857</m:t>
        </m:r>
      </m:oMath>
      <w:r>
        <w:t xml:space="preserve">.</w:t>
      </w:r>
    </w:p>
    <w:p>
      <w:pPr>
        <w:pStyle w:val="BodyText"/>
      </w:pPr>
      <w:r>
        <w:t xml:space="preserve">Das negative Vorzeichen bedeutet, dass Fälle mit höheren Rängen bei einer Variable tendenziell tiefere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0.8857</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73"/>
    <w:bookmarkStart w:id="74" w:name="t04-a04-v10-archiverfahrung-und-suchrang"/>
    <w:p>
      <w:pPr>
        <w:pStyle w:val="Heading3"/>
      </w:pPr>
      <w:r>
        <w:rPr>
          <w:rStyle w:val="VerbatimChar"/>
        </w:rPr>
        <w:t xml:space="preserve">T04-A04-V10</w:t>
      </w:r>
      <w:r>
        <w:t xml:space="preserve">: Archiverfahrung und Suchrang</w:t>
      </w:r>
    </w:p>
    <w:p>
      <w:pPr>
        <w:pStyle w:val="FirstParagraph"/>
      </w:pPr>
      <w:r>
        <w:rPr>
          <w:b/>
          <w:bCs/>
        </w:rPr>
        <w:t xml:space="preserve">Berechnung einrichten</w:t>
      </w:r>
    </w:p>
    <w:p>
      <w:pPr>
        <w:pStyle w:val="BodyText"/>
      </w:pPr>
      <w:r>
        <w:t xml:space="preserve">Die Rangdifferenzen sind</w:t>
      </w:r>
      <w:r>
        <w:t xml:space="preserve"> </w:t>
      </w:r>
      <m:oMath>
        <m:r>
          <m:t>d</m:t>
        </m:r>
        <m:r>
          <m:rPr>
            <m:sty m:val="p"/>
          </m:rPr>
          <m:t>=</m:t>
        </m:r>
        <m:d>
          <m:dPr>
            <m:begChr m:val="("/>
            <m:sepChr m:val=""/>
            <m:endChr m:val=")"/>
            <m:grow/>
          </m:dPr>
          <m:e>
            <m:r>
              <m:t>0</m:t>
            </m:r>
            <m:r>
              <m:rPr>
                <m:sty m:val="p"/>
              </m:rPr>
              <m:t>,</m:t>
            </m:r>
            <m:r>
              <m:rPr>
                <m:sty m:val="p"/>
              </m:rPr>
              <m:t>−</m:t>
            </m:r>
            <m:r>
              <m:t>1</m:t>
            </m:r>
            <m:r>
              <m:rPr>
                <m:sty m:val="p"/>
              </m:rPr>
              <m:t>,</m:t>
            </m:r>
            <m:r>
              <m:t>1</m:t>
            </m:r>
            <m:r>
              <m:rPr>
                <m:sty m:val="p"/>
              </m:rPr>
              <m:t>,</m:t>
            </m:r>
            <m:r>
              <m:rPr>
                <m:sty m:val="p"/>
              </m:rPr>
              <m:t>−</m:t>
            </m:r>
            <m:r>
              <m:t>1</m:t>
            </m:r>
            <m:r>
              <m:rPr>
                <m:sty m:val="p"/>
              </m:rPr>
              <m:t>,</m:t>
            </m:r>
            <m:r>
              <m:t>1</m:t>
            </m:r>
            <m:r>
              <m:rPr>
                <m:sty m:val="p"/>
              </m:rPr>
              <m:t>,</m:t>
            </m:r>
            <m:r>
              <m:rPr>
                <m:sty m:val="p"/>
              </m:rPr>
              <m:t>−</m:t>
            </m:r>
            <m:r>
              <m:t>1</m:t>
            </m:r>
            <m:r>
              <m:rPr>
                <m:sty m:val="p"/>
              </m:rPr>
              <m:t>,</m:t>
            </m:r>
            <m:r>
              <m:t>1</m:t>
            </m:r>
          </m:e>
        </m:d>
      </m:oMath>
      <w:r>
        <w:t xml:space="preserve">; somit gilt</w:t>
      </w:r>
      <w:r>
        <w:t xml:space="preserve"> </w:t>
      </w:r>
      <m:oMath>
        <m:r>
          <m:rPr>
            <m:sty m:val="p"/>
          </m:rPr>
          <m:t>∑</m:t>
        </m:r>
        <m:sSubSup>
          <m:e>
            <m:r>
              <m:t>d</m:t>
            </m:r>
          </m:e>
          <m:sub>
            <m:r>
              <m:t>i</m:t>
            </m:r>
          </m:sub>
          <m:sup>
            <m:r>
              <m:t>2</m:t>
            </m:r>
          </m:sup>
        </m:sSubSup>
        <m:r>
          <m:rPr>
            <m:sty m:val="p"/>
          </m:rPr>
          <m:t>=</m:t>
        </m:r>
        <m:r>
          <m:t>6</m:t>
        </m:r>
      </m:oMath>
      <w:r>
        <w:t xml:space="preserve">.</w:t>
      </w:r>
    </w:p>
    <w:p>
      <w:pPr>
        <w:pStyle w:val="BodyText"/>
      </w:pPr>
      <w:r>
        <w:rPr>
          <w:b/>
          <w:bCs/>
        </w:rPr>
        <w:t xml:space="preserve">Berechnung durchführen</w:t>
      </w:r>
    </w:p>
    <w:p>
      <w:pPr>
        <w:pStyle w:val="BodyText"/>
      </w:pPr>
      <w:r>
        <w:t xml:space="preserve">Mit</w:t>
      </w:r>
      <w:r>
        <w:t xml:space="preserve"> </w:t>
      </w:r>
      <m:oMath>
        <m:r>
          <m:t>n</m:t>
        </m:r>
        <m:r>
          <m:rPr>
            <m:sty m:val="p"/>
          </m:rPr>
          <m:t>=</m:t>
        </m:r>
        <m:r>
          <m:t>7</m:t>
        </m:r>
      </m:oMath>
      <w:r>
        <w:t xml:space="preserve"> </w:t>
      </w:r>
      <w:r>
        <w:t xml:space="preserve">ergibt sich</w:t>
      </w:r>
      <w:r>
        <w:t xml:space="preserve"> </w:t>
      </w:r>
      <m:oMath>
        <m:sSub>
          <m:e>
            <m:r>
              <m:t>r</m:t>
            </m:r>
          </m:e>
          <m:sub>
            <m:r>
              <m:t>s</m:t>
            </m:r>
          </m:sub>
        </m:sSub>
        <m:r>
          <m:rPr>
            <m:sty m:val="p"/>
          </m:rPr>
          <m:t>=</m:t>
        </m:r>
        <m:r>
          <m:t>1</m:t>
        </m:r>
        <m:r>
          <m:rPr>
            <m:sty m:val="p"/>
          </m:rPr>
          <m:t>−</m:t>
        </m:r>
        <m:r>
          <m:t>6</m:t>
        </m:r>
        <m:d>
          <m:dPr>
            <m:begChr m:val="("/>
            <m:sepChr m:val=""/>
            <m:endChr m:val=")"/>
            <m:grow/>
          </m:dPr>
          <m:e>
            <m:r>
              <m:t>6</m:t>
            </m:r>
          </m:e>
        </m:d>
        <m:r>
          <m:rPr>
            <m:sty m:val="p"/>
          </m:rPr>
          <m:t>/</m:t>
        </m:r>
        <m:d>
          <m:dPr>
            <m:begChr m:val="["/>
            <m:sepChr m:val=""/>
            <m:endChr m:val="]"/>
            <m:grow/>
          </m:dPr>
          <m:e>
            <m:r>
              <m:t>7</m:t>
            </m:r>
            <m:d>
              <m:dPr>
                <m:begChr m:val="("/>
                <m:sepChr m:val=""/>
                <m:endChr m:val=")"/>
                <m:grow/>
              </m:dPr>
              <m:e>
                <m:sSup>
                  <m:e>
                    <m:r>
                      <m:t>7</m:t>
                    </m:r>
                  </m:e>
                  <m:sup>
                    <m:r>
                      <m:t>2</m:t>
                    </m:r>
                  </m:sup>
                </m:sSup>
                <m:r>
                  <m:rPr>
                    <m:sty m:val="p"/>
                  </m:rPr>
                  <m:t>−</m:t>
                </m:r>
                <m:r>
                  <m:t>1</m:t>
                </m:r>
              </m:e>
            </m:d>
          </m:e>
        </m:d>
        <m:r>
          <m:rPr>
            <m:sty m:val="p"/>
          </m:rPr>
          <m:t>=</m:t>
        </m:r>
        <m:r>
          <m:t>0.8929</m:t>
        </m:r>
      </m:oMath>
      <w:r>
        <w:t xml:space="preserve">.</w:t>
      </w:r>
    </w:p>
    <w:p>
      <w:pPr>
        <w:pStyle w:val="BodyText"/>
      </w:pPr>
      <w:r>
        <w:t xml:space="preserve">Das positive Vorzeichen bedeutet, dass Fälle mit höheren Rängen bei einer Variable tendenziell höhere Ränge bei der anderen besitzen.</w:t>
      </w:r>
    </w:p>
    <w:p>
      <w:pPr>
        <w:pStyle w:val="BodyText"/>
      </w:pPr>
      <w:r>
        <w:rPr>
          <w:b/>
          <w:bCs/>
        </w:rPr>
        <w:t xml:space="preserve">Ergebnis interpretieren und prüfen</w:t>
      </w:r>
    </w:p>
    <w:p>
      <w:pPr>
        <w:pStyle w:val="BodyText"/>
      </w:pPr>
      <w:r>
        <w:t xml:space="preserve">Der Betrag</w:t>
      </w:r>
      <w:r>
        <w:t xml:space="preserve"> </w:t>
      </w:r>
      <m:oMath>
        <m:d>
          <m:dPr>
            <m:begChr m:val="|"/>
            <m:sepChr m:val=""/>
            <m:endChr m:val="|"/>
            <m:grow/>
          </m:dPr>
          <m:e>
            <m:sSub>
              <m:e>
                <m:r>
                  <m:t>r</m:t>
                </m:r>
              </m:e>
              <m:sub>
                <m:r>
                  <m:t>s</m:t>
                </m:r>
              </m:sub>
            </m:sSub>
          </m:e>
        </m:d>
        <m:r>
          <m:rPr>
            <m:sty m:val="p"/>
          </m:rPr>
          <m:t>=</m:t>
        </m:r>
        <m:r>
          <m:t>0.8929</m:t>
        </m:r>
      </m:oMath>
      <w:r>
        <w:t xml:space="preserve"> </w:t>
      </w:r>
      <w:r>
        <w:t xml:space="preserve">beschreibt, wie einheitlich die Ordnung einer monotonen Richtung folgt.</w:t>
      </w:r>
    </w:p>
    <w:p>
      <w:pPr>
        <w:pStyle w:val="BodyText"/>
      </w:pPr>
      <w:r>
        <w:t xml:space="preserve">Weil Ränge die ursprünglichen Werte ersetzen, beschreibt das Ergebnis keine Steigung in Originaleinheiten.</w:t>
      </w:r>
    </w:p>
    <w:bookmarkEnd w:id="74"/>
    <w:bookmarkEnd w:id="75"/>
    <w:bookmarkStart w:id="86" w:name="X6c670da99a00140b227d400a884f5c6c878fb8b"/>
    <w:p>
      <w:pPr>
        <w:pStyle w:val="Heading2"/>
      </w:pPr>
      <w:r>
        <w:t xml:space="preserve">A05: Pearson und Spearman bei monotoner Krümmung</w:t>
      </w:r>
    </w:p>
    <w:bookmarkStart w:id="76" w:name="X3e0bf8bf64f9026cb906ecd30ec8c5bd57ef3b1"/>
    <w:p>
      <w:pPr>
        <w:pStyle w:val="Heading3"/>
      </w:pPr>
      <w:r>
        <w:rPr>
          <w:rStyle w:val="VerbatimChar"/>
        </w:rPr>
        <w:t xml:space="preserve">T04-A05-V01</w:t>
      </w:r>
      <w:r>
        <w:t xml:space="preserve">: Übungsstunden und flüssiger Abruf</w:t>
      </w:r>
    </w:p>
    <w:p>
      <w:pPr>
        <w:pStyle w:val="FirstParagraph"/>
      </w:pPr>
      <w:r>
        <w:rPr>
          <w:b/>
          <w:bCs/>
        </w:rPr>
        <w:t xml:space="preserve">Vor dem Rechnen begründen</w:t>
      </w:r>
    </w:p>
    <w:p>
      <w:pPr>
        <w:pStyle w:val="BodyText"/>
      </w:pPr>
      <w:r>
        <w:t xml:space="preserve">Die Koordinaten (1, 2), (2, 3), (3, 5), (4, 8), (5, 12), (6, 17), (7, 23) bilden eine steigende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zu,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10.0000</m:t>
        </m:r>
      </m:oMath>
      <w:r>
        <w:t xml:space="preserve">,</w:t>
      </w:r>
      <w:r>
        <w:t xml:space="preserve"> </w:t>
      </w:r>
      <m:oMath>
        <m:sSub>
          <m:e>
            <m:r>
              <m:t>S</m:t>
            </m:r>
          </m:e>
          <m:sub>
            <m:r>
              <m:t>x</m:t>
            </m:r>
            <m:r>
              <m:t>y</m:t>
            </m:r>
          </m:sub>
        </m:sSub>
        <m:r>
          <m:rPr>
            <m:sty m:val="p"/>
          </m:rPr>
          <m:t>=</m:t>
        </m:r>
        <m:r>
          <m:t>98.0000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364.0000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98.0000</m:t>
        </m:r>
        <m:r>
          <m:rPr>
            <m:sty m:val="p"/>
          </m:rPr>
          <m:t>/</m:t>
        </m:r>
        <m:rad>
          <m:radPr>
            <m:degHide m:val="on"/>
          </m:radPr>
          <m:deg/>
          <m:e>
            <m:r>
              <m:t>28.0000</m:t>
            </m:r>
            <m:d>
              <m:dPr>
                <m:begChr m:val="("/>
                <m:sepChr m:val=""/>
                <m:endChr m:val=")"/>
                <m:grow/>
              </m:dPr>
              <m:e>
                <m:r>
                  <m:t>364.0000</m:t>
                </m:r>
              </m:e>
            </m:d>
          </m:e>
        </m:rad>
        <m:r>
          <m:rPr>
            <m:sty m:val="p"/>
          </m:rPr>
          <m:t>=</m:t>
        </m:r>
        <m:r>
          <m:t>0.9707</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76"/>
    <w:bookmarkStart w:id="77" w:name="Xdddb4f474192c863aa7dc12a204d56b2d238325"/>
    <w:p>
      <w:pPr>
        <w:pStyle w:val="Heading3"/>
      </w:pPr>
      <w:r>
        <w:rPr>
          <w:rStyle w:val="VerbatimChar"/>
        </w:rPr>
        <w:t xml:space="preserve">T04-A05-V02</w:t>
      </w:r>
      <w:r>
        <w:t xml:space="preserve">: Archiverfahrung und Abrufgeschwindigkeit</w:t>
      </w:r>
    </w:p>
    <w:p>
      <w:pPr>
        <w:pStyle w:val="FirstParagraph"/>
      </w:pPr>
      <w:r>
        <w:rPr>
          <w:b/>
          <w:bCs/>
        </w:rPr>
        <w:t xml:space="preserve">Vor dem Rechnen begründen</w:t>
      </w:r>
    </w:p>
    <w:p>
      <w:pPr>
        <w:pStyle w:val="BodyText"/>
      </w:pPr>
      <w:r>
        <w:t xml:space="preserve">Die Koordinaten (1, 70), (2, 53), (3, 41), (4, 32), (5, 26), (6, 22), (7, 19) bilden eine fallende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ab,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37.5714</m:t>
        </m:r>
      </m:oMath>
      <w:r>
        <w:t xml:space="preserve">,</w:t>
      </w:r>
      <w:r>
        <w:t xml:space="preserve"> </w:t>
      </w:r>
      <m:oMath>
        <m:sSub>
          <m:e>
            <m:r>
              <m:t>S</m:t>
            </m:r>
          </m:e>
          <m:sub>
            <m:r>
              <m:t>x</m:t>
            </m:r>
            <m:r>
              <m:t>y</m:t>
            </m:r>
          </m:sub>
        </m:sSub>
        <m:r>
          <m:rPr>
            <m:sty m:val="p"/>
          </m:rPr>
          <m:t>=</m:t>
        </m:r>
        <m:r>
          <m:rPr>
            <m:sty m:val="p"/>
          </m:rPr>
          <m:t>−</m:t>
        </m:r>
        <m:r>
          <m:t>230.0000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2053.7143</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230.0000</m:t>
        </m:r>
        <m:r>
          <m:rPr>
            <m:sty m:val="p"/>
          </m:rPr>
          <m:t>/</m:t>
        </m:r>
        <m:rad>
          <m:radPr>
            <m:degHide m:val="on"/>
          </m:radPr>
          <m:deg/>
          <m:e>
            <m:r>
              <m:t>28.0000</m:t>
            </m:r>
            <m:d>
              <m:dPr>
                <m:begChr m:val="("/>
                <m:sepChr m:val=""/>
                <m:endChr m:val=")"/>
                <m:grow/>
              </m:dPr>
              <m:e>
                <m:r>
                  <m:t>2053.7143</m:t>
                </m:r>
              </m:e>
            </m:d>
          </m:e>
        </m:rad>
        <m:r>
          <m:rPr>
            <m:sty m:val="p"/>
          </m:rPr>
          <m:t>=</m:t>
        </m:r>
        <m:r>
          <m:rPr>
            <m:sty m:val="p"/>
          </m:rPr>
          <m:t>−</m:t>
        </m:r>
        <m:r>
          <m:t>0.9591</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77"/>
    <w:bookmarkStart w:id="78" w:name="X0ef04ea420ddb6ef82c7c6d8b93f243fc4551ab"/>
    <w:p>
      <w:pPr>
        <w:pStyle w:val="Heading3"/>
      </w:pPr>
      <w:r>
        <w:rPr>
          <w:rStyle w:val="VerbatimChar"/>
        </w:rPr>
        <w:t xml:space="preserve">T04-A05-V03</w:t>
      </w:r>
      <w:r>
        <w:t xml:space="preserve">: Museumsbesuche und Wissensstand</w:t>
      </w:r>
    </w:p>
    <w:p>
      <w:pPr>
        <w:pStyle w:val="FirstParagraph"/>
      </w:pPr>
      <w:r>
        <w:rPr>
          <w:b/>
          <w:bCs/>
        </w:rPr>
        <w:t xml:space="preserve">Vor dem Rechnen begründen</w:t>
      </w:r>
    </w:p>
    <w:p>
      <w:pPr>
        <w:pStyle w:val="BodyText"/>
      </w:pPr>
      <w:r>
        <w:t xml:space="preserve">Die Koordinaten (1, 10), (2, 13), (3, 17), (4, 22), (5, 28), (6, 35), (7, 43) bilden eine steigende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zu,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24.0000</m:t>
        </m:r>
      </m:oMath>
      <w:r>
        <w:t xml:space="preserve">,</w:t>
      </w:r>
      <w:r>
        <w:t xml:space="preserve"> </w:t>
      </w:r>
      <m:oMath>
        <m:sSub>
          <m:e>
            <m:r>
              <m:t>S</m:t>
            </m:r>
          </m:e>
          <m:sub>
            <m:r>
              <m:t>x</m:t>
            </m:r>
            <m:r>
              <m:t>y</m:t>
            </m:r>
          </m:sub>
        </m:sSub>
        <m:r>
          <m:rPr>
            <m:sty m:val="p"/>
          </m:rPr>
          <m:t>=</m:t>
        </m:r>
        <m:r>
          <m:t>154.0000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868.0000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154.0000</m:t>
        </m:r>
        <m:r>
          <m:rPr>
            <m:sty m:val="p"/>
          </m:rPr>
          <m:t>/</m:t>
        </m:r>
        <m:rad>
          <m:radPr>
            <m:degHide m:val="on"/>
          </m:radPr>
          <m:deg/>
          <m:e>
            <m:r>
              <m:t>28.0000</m:t>
            </m:r>
            <m:d>
              <m:dPr>
                <m:begChr m:val="("/>
                <m:sepChr m:val=""/>
                <m:endChr m:val=")"/>
                <m:grow/>
              </m:dPr>
              <m:e>
                <m:r>
                  <m:t>868.0000</m:t>
                </m:r>
              </m:e>
            </m:d>
          </m:e>
        </m:rad>
        <m:r>
          <m:rPr>
            <m:sty m:val="p"/>
          </m:rPr>
          <m:t>=</m:t>
        </m:r>
        <m:r>
          <m:t>0.9878</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78"/>
    <w:bookmarkStart w:id="79" w:name="X070873bd40e824190e805f9f633dccf20df240d"/>
    <w:p>
      <w:pPr>
        <w:pStyle w:val="Heading3"/>
      </w:pPr>
      <w:r>
        <w:rPr>
          <w:rStyle w:val="VerbatimChar"/>
        </w:rPr>
        <w:t xml:space="preserve">T04-A05-V04</w:t>
      </w:r>
      <w:r>
        <w:t xml:space="preserve">: Routenkenntnis und Navigationszeit</w:t>
      </w:r>
    </w:p>
    <w:p>
      <w:pPr>
        <w:pStyle w:val="FirstParagraph"/>
      </w:pPr>
      <w:r>
        <w:rPr>
          <w:b/>
          <w:bCs/>
        </w:rPr>
        <w:t xml:space="preserve">Vor dem Rechnen begründen</w:t>
      </w:r>
    </w:p>
    <w:p>
      <w:pPr>
        <w:pStyle w:val="BodyText"/>
      </w:pPr>
      <w:r>
        <w:t xml:space="preserve">Die Koordinaten (1, 65), (2, 48), (3, 37), (4, 29), (5, 24), (6, 20), (7, 17) bilden eine fallende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ab,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34.2857</m:t>
        </m:r>
      </m:oMath>
      <w:r>
        <w:t xml:space="preserve">,</w:t>
      </w:r>
      <w:r>
        <w:t xml:space="preserve"> </w:t>
      </w:r>
      <m:oMath>
        <m:sSub>
          <m:e>
            <m:r>
              <m:t>S</m:t>
            </m:r>
          </m:e>
          <m:sub>
            <m:r>
              <m:t>x</m:t>
            </m:r>
            <m:r>
              <m:t>y</m:t>
            </m:r>
          </m:sub>
        </m:sSub>
        <m:r>
          <m:rPr>
            <m:sty m:val="p"/>
          </m:rPr>
          <m:t>=</m:t>
        </m:r>
        <m:r>
          <m:rPr>
            <m:sty m:val="p"/>
          </m:rPr>
          <m:t>−</m:t>
        </m:r>
        <m:r>
          <m:t>213.0000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1775.4286</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213.0000</m:t>
        </m:r>
        <m:r>
          <m:rPr>
            <m:sty m:val="p"/>
          </m:rPr>
          <m:t>/</m:t>
        </m:r>
        <m:rad>
          <m:radPr>
            <m:degHide m:val="on"/>
          </m:radPr>
          <m:deg/>
          <m:e>
            <m:r>
              <m:t>28.0000</m:t>
            </m:r>
            <m:d>
              <m:dPr>
                <m:begChr m:val="("/>
                <m:sepChr m:val=""/>
                <m:endChr m:val=")"/>
                <m:grow/>
              </m:dPr>
              <m:e>
                <m:r>
                  <m:t>1775.4286</m:t>
                </m:r>
              </m:e>
            </m:d>
          </m:e>
        </m:rad>
        <m:r>
          <m:rPr>
            <m:sty m:val="p"/>
          </m:rPr>
          <m:t>=</m:t>
        </m:r>
        <m:r>
          <m:rPr>
            <m:sty m:val="p"/>
          </m:rPr>
          <m:t>−</m:t>
        </m:r>
        <m:r>
          <m:t>0.9553</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79"/>
    <w:bookmarkStart w:id="80" w:name="X29f54885e1caf74abeb91421ce0d24a4dc521c1"/>
    <w:p>
      <w:pPr>
        <w:pStyle w:val="Heading3"/>
      </w:pPr>
      <w:r>
        <w:rPr>
          <w:rStyle w:val="VerbatimChar"/>
        </w:rPr>
        <w:t xml:space="preserve">T04-A05-V05</w:t>
      </w:r>
      <w:r>
        <w:t xml:space="preserve">: Übungsserien und Selbstvertrauen</w:t>
      </w:r>
    </w:p>
    <w:p>
      <w:pPr>
        <w:pStyle w:val="FirstParagraph"/>
      </w:pPr>
      <w:r>
        <w:rPr>
          <w:b/>
          <w:bCs/>
        </w:rPr>
        <w:t xml:space="preserve">Vor dem Rechnen begründen</w:t>
      </w:r>
    </w:p>
    <w:p>
      <w:pPr>
        <w:pStyle w:val="BodyText"/>
      </w:pPr>
      <w:r>
        <w:t xml:space="preserve">Die Koordinaten (1, 20), (2, 22), (3, 25), (4, 29), (5, 34), (6, 40), (7, 47) bilden eine steigende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zu,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31.0000</m:t>
        </m:r>
      </m:oMath>
      <w:r>
        <w:t xml:space="preserve">,</w:t>
      </w:r>
      <w:r>
        <w:t xml:space="preserve"> </w:t>
      </w:r>
      <m:oMath>
        <m:sSub>
          <m:e>
            <m:r>
              <m:t>S</m:t>
            </m:r>
          </m:e>
          <m:sub>
            <m:r>
              <m:t>x</m:t>
            </m:r>
            <m:r>
              <m:t>y</m:t>
            </m:r>
          </m:sub>
        </m:sSub>
        <m:r>
          <m:rPr>
            <m:sty m:val="p"/>
          </m:rPr>
          <m:t>=</m:t>
        </m:r>
        <m:r>
          <m:t>126.0000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588.0000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126.0000</m:t>
        </m:r>
        <m:r>
          <m:rPr>
            <m:sty m:val="p"/>
          </m:rPr>
          <m:t>/</m:t>
        </m:r>
        <m:rad>
          <m:radPr>
            <m:degHide m:val="on"/>
          </m:radPr>
          <m:deg/>
          <m:e>
            <m:r>
              <m:t>28.0000</m:t>
            </m:r>
            <m:d>
              <m:dPr>
                <m:begChr m:val="("/>
                <m:sepChr m:val=""/>
                <m:endChr m:val=")"/>
                <m:grow/>
              </m:dPr>
              <m:e>
                <m:r>
                  <m:t>588.0000</m:t>
                </m:r>
              </m:e>
            </m:d>
          </m:e>
        </m:rad>
        <m:r>
          <m:rPr>
            <m:sty m:val="p"/>
          </m:rPr>
          <m:t>=</m:t>
        </m:r>
        <m:r>
          <m:t>0.9820</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80"/>
    <w:bookmarkStart w:id="81" w:name="Xb2c82b7e4370427df03982b70bfe69744aada51"/>
    <w:p>
      <w:pPr>
        <w:pStyle w:val="Heading3"/>
      </w:pPr>
      <w:r>
        <w:rPr>
          <w:rStyle w:val="VerbatimChar"/>
        </w:rPr>
        <w:t xml:space="preserve">T04-A05-V06</w:t>
      </w:r>
      <w:r>
        <w:t xml:space="preserve">: Benachrichtigungsbelastung und Konzentration</w:t>
      </w:r>
    </w:p>
    <w:p>
      <w:pPr>
        <w:pStyle w:val="FirstParagraph"/>
      </w:pPr>
      <w:r>
        <w:rPr>
          <w:b/>
          <w:bCs/>
        </w:rPr>
        <w:t xml:space="preserve">Vor dem Rechnen begründen</w:t>
      </w:r>
    </w:p>
    <w:p>
      <w:pPr>
        <w:pStyle w:val="BodyText"/>
      </w:pPr>
      <w:r>
        <w:t xml:space="preserve">Die Koordinaten (1, 82), (2, 69), (3, 59), (4, 51), (5, 45), (6, 40), (7, 36) bilden eine fallende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ab,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54.5714</m:t>
        </m:r>
      </m:oMath>
      <w:r>
        <w:t xml:space="preserve">,</w:t>
      </w:r>
      <w:r>
        <w:t xml:space="preserve"> </w:t>
      </w:r>
      <m:oMath>
        <m:sSub>
          <m:e>
            <m:r>
              <m:t>S</m:t>
            </m:r>
          </m:e>
          <m:sub>
            <m:r>
              <m:t>x</m:t>
            </m:r>
            <m:r>
              <m:t>y</m:t>
            </m:r>
          </m:sub>
        </m:sSub>
        <m:r>
          <m:rPr>
            <m:sty m:val="p"/>
          </m:rPr>
          <m:t>=</m:t>
        </m:r>
        <m:r>
          <m:rPr>
            <m:sty m:val="p"/>
          </m:rPr>
          <m:t>−</m:t>
        </m:r>
        <m:r>
          <m:t>210.0000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1641.7143</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210.0000</m:t>
        </m:r>
        <m:r>
          <m:rPr>
            <m:sty m:val="p"/>
          </m:rPr>
          <m:t>/</m:t>
        </m:r>
        <m:rad>
          <m:radPr>
            <m:degHide m:val="on"/>
          </m:radPr>
          <m:deg/>
          <m:e>
            <m:r>
              <m:t>28.0000</m:t>
            </m:r>
            <m:d>
              <m:dPr>
                <m:begChr m:val="("/>
                <m:sepChr m:val=""/>
                <m:endChr m:val=")"/>
                <m:grow/>
              </m:dPr>
              <m:e>
                <m:r>
                  <m:t>1641.7143</m:t>
                </m:r>
              </m:e>
            </m:d>
          </m:e>
        </m:rad>
        <m:r>
          <m:rPr>
            <m:sty m:val="p"/>
          </m:rPr>
          <m:t>=</m:t>
        </m:r>
        <m:r>
          <m:rPr>
            <m:sty m:val="p"/>
          </m:rPr>
          <m:t>−</m:t>
        </m:r>
        <m:r>
          <m:t>0.9795</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81"/>
    <w:bookmarkStart w:id="82" w:name="t04-a05-v07-lesesitzungen-und-wortschatz"/>
    <w:p>
      <w:pPr>
        <w:pStyle w:val="Heading3"/>
      </w:pPr>
      <w:r>
        <w:rPr>
          <w:rStyle w:val="VerbatimChar"/>
        </w:rPr>
        <w:t xml:space="preserve">T04-A05-V07</w:t>
      </w:r>
      <w:r>
        <w:t xml:space="preserve">: Lesesitzungen und Wortschatz</w:t>
      </w:r>
    </w:p>
    <w:p>
      <w:pPr>
        <w:pStyle w:val="FirstParagraph"/>
      </w:pPr>
      <w:r>
        <w:rPr>
          <w:b/>
          <w:bCs/>
        </w:rPr>
        <w:t xml:space="preserve">Vor dem Rechnen begründen</w:t>
      </w:r>
    </w:p>
    <w:p>
      <w:pPr>
        <w:pStyle w:val="BodyText"/>
      </w:pPr>
      <w:r>
        <w:t xml:space="preserve">Die Koordinaten (1, 30), (2, 31), (3, 34), (4, 39), (5, 46), (6, 55), (7, 66) bilden eine steigende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zu,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43.0000</m:t>
        </m:r>
      </m:oMath>
      <w:r>
        <w:t xml:space="preserve">,</w:t>
      </w:r>
      <w:r>
        <w:t xml:space="preserve"> </w:t>
      </w:r>
      <m:oMath>
        <m:sSub>
          <m:e>
            <m:r>
              <m:t>S</m:t>
            </m:r>
          </m:e>
          <m:sub>
            <m:r>
              <m:t>x</m:t>
            </m:r>
            <m:r>
              <m:t>y</m:t>
            </m:r>
          </m:sub>
        </m:sSub>
        <m:r>
          <m:rPr>
            <m:sty m:val="p"/>
          </m:rPr>
          <m:t>=</m:t>
        </m:r>
        <m:r>
          <m:t>168.0000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1092.0000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168.0000</m:t>
        </m:r>
        <m:r>
          <m:rPr>
            <m:sty m:val="p"/>
          </m:rPr>
          <m:t>/</m:t>
        </m:r>
        <m:rad>
          <m:radPr>
            <m:degHide m:val="on"/>
          </m:radPr>
          <m:deg/>
          <m:e>
            <m:r>
              <m:t>28.0000</m:t>
            </m:r>
            <m:d>
              <m:dPr>
                <m:begChr m:val="("/>
                <m:sepChr m:val=""/>
                <m:endChr m:val=")"/>
                <m:grow/>
              </m:dPr>
              <m:e>
                <m:r>
                  <m:t>1092.0000</m:t>
                </m:r>
              </m:e>
            </m:d>
          </m:e>
        </m:rad>
        <m:r>
          <m:rPr>
            <m:sty m:val="p"/>
          </m:rPr>
          <m:t>=</m:t>
        </m:r>
        <m:r>
          <m:t>0.9608</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82"/>
    <w:bookmarkStart w:id="83" w:name="Xe08f6b716d6f0928b8c6c0fecdd0e3d7cdf5f51"/>
    <w:p>
      <w:pPr>
        <w:pStyle w:val="Heading3"/>
      </w:pPr>
      <w:r>
        <w:rPr>
          <w:rStyle w:val="VerbatimChar"/>
        </w:rPr>
        <w:t xml:space="preserve">T04-A05-V08</w:t>
      </w:r>
      <w:r>
        <w:t xml:space="preserve">: Suchversuche und verbleibende Fehler</w:t>
      </w:r>
    </w:p>
    <w:p>
      <w:pPr>
        <w:pStyle w:val="FirstParagraph"/>
      </w:pPr>
      <w:r>
        <w:rPr>
          <w:b/>
          <w:bCs/>
        </w:rPr>
        <w:t xml:space="preserve">Vor dem Rechnen begründen</w:t>
      </w:r>
    </w:p>
    <w:p>
      <w:pPr>
        <w:pStyle w:val="BodyText"/>
      </w:pPr>
      <w:r>
        <w:t xml:space="preserve">Die Koordinaten (1, 24), (2, 18), (3, 14), (4, 11), (5, 9), (6, 8), (7, 7) bilden eine fallende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ab,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13.0000</m:t>
        </m:r>
      </m:oMath>
      <w:r>
        <w:t xml:space="preserve">,</w:t>
      </w:r>
      <w:r>
        <w:t xml:space="preserve"> </w:t>
      </w:r>
      <m:oMath>
        <m:sSub>
          <m:e>
            <m:r>
              <m:t>S</m:t>
            </m:r>
          </m:e>
          <m:sub>
            <m:r>
              <m:t>x</m:t>
            </m:r>
            <m:r>
              <m:t>y</m:t>
            </m:r>
          </m:sub>
        </m:sSub>
        <m:r>
          <m:rPr>
            <m:sty m:val="p"/>
          </m:rPr>
          <m:t>=</m:t>
        </m:r>
        <m:r>
          <m:rPr>
            <m:sty m:val="p"/>
          </m:rPr>
          <m:t>−</m:t>
        </m:r>
        <m:r>
          <m:t>76.0000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228.0000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76.0000</m:t>
        </m:r>
        <m:r>
          <m:rPr>
            <m:sty m:val="p"/>
          </m:rPr>
          <m:t>/</m:t>
        </m:r>
        <m:rad>
          <m:radPr>
            <m:degHide m:val="on"/>
          </m:radPr>
          <m:deg/>
          <m:e>
            <m:r>
              <m:t>28.0000</m:t>
            </m:r>
            <m:d>
              <m:dPr>
                <m:begChr m:val="("/>
                <m:sepChr m:val=""/>
                <m:endChr m:val=")"/>
                <m:grow/>
              </m:dPr>
              <m:e>
                <m:r>
                  <m:t>228.0000</m:t>
                </m:r>
              </m:e>
            </m:d>
          </m:e>
        </m:rad>
        <m:r>
          <m:rPr>
            <m:sty m:val="p"/>
          </m:rPr>
          <m:t>=</m:t>
        </m:r>
        <m:r>
          <m:rPr>
            <m:sty m:val="p"/>
          </m:rPr>
          <m:t>−</m:t>
        </m:r>
        <m:r>
          <m:t>0.9512</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83"/>
    <w:bookmarkStart w:id="84" w:name="X2d1c4bb3b2762309d38fe39d44b758a5c5e983d"/>
    <w:p>
      <w:pPr>
        <w:pStyle w:val="Heading3"/>
      </w:pPr>
      <w:r>
        <w:rPr>
          <w:rStyle w:val="VerbatimChar"/>
        </w:rPr>
        <w:t xml:space="preserve">T04-A05-V09</w:t>
      </w:r>
      <w:r>
        <w:t xml:space="preserve">: Workshop-Sitzungen und logisches Denken</w:t>
      </w:r>
    </w:p>
    <w:p>
      <w:pPr>
        <w:pStyle w:val="FirstParagraph"/>
      </w:pPr>
      <w:r>
        <w:rPr>
          <w:b/>
          <w:bCs/>
        </w:rPr>
        <w:t xml:space="preserve">Vor dem Rechnen begründen</w:t>
      </w:r>
    </w:p>
    <w:p>
      <w:pPr>
        <w:pStyle w:val="BodyText"/>
      </w:pPr>
      <w:r>
        <w:t xml:space="preserve">Die Koordinaten (1, 40), (2, 43), (3, 47), (4, 52), (5, 58), (6, 65), (7, 73) bilden eine steigende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zu,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54.0000</m:t>
        </m:r>
      </m:oMath>
      <w:r>
        <w:t xml:space="preserve">,</w:t>
      </w:r>
      <w:r>
        <w:t xml:space="preserve"> </w:t>
      </w:r>
      <m:oMath>
        <m:sSub>
          <m:e>
            <m:r>
              <m:t>S</m:t>
            </m:r>
          </m:e>
          <m:sub>
            <m:r>
              <m:t>x</m:t>
            </m:r>
            <m:r>
              <m:t>y</m:t>
            </m:r>
          </m:sub>
        </m:sSub>
        <m:r>
          <m:rPr>
            <m:sty m:val="p"/>
          </m:rPr>
          <m:t>=</m:t>
        </m:r>
        <m:r>
          <m:t>154.0000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868.0000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t>154.0000</m:t>
        </m:r>
        <m:r>
          <m:rPr>
            <m:sty m:val="p"/>
          </m:rPr>
          <m:t>/</m:t>
        </m:r>
        <m:rad>
          <m:radPr>
            <m:degHide m:val="on"/>
          </m:radPr>
          <m:deg/>
          <m:e>
            <m:r>
              <m:t>28.0000</m:t>
            </m:r>
            <m:d>
              <m:dPr>
                <m:begChr m:val="("/>
                <m:sepChr m:val=""/>
                <m:endChr m:val=")"/>
                <m:grow/>
              </m:dPr>
              <m:e>
                <m:r>
                  <m:t>868.0000</m:t>
                </m:r>
              </m:e>
            </m:d>
          </m:e>
        </m:rad>
        <m:r>
          <m:rPr>
            <m:sty m:val="p"/>
          </m:rPr>
          <m:t>=</m:t>
        </m:r>
        <m:r>
          <m:t>0.9878</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t>28.0000</m:t>
        </m:r>
        <m:r>
          <m:rPr>
            <m:sty m:val="p"/>
          </m:rPr>
          <m:t>/</m:t>
        </m:r>
        <m:rad>
          <m:radPr>
            <m:degHide m:val="on"/>
          </m:radPr>
          <m:deg/>
          <m:e>
            <m:r>
              <m:t>28.0000</m:t>
            </m:r>
            <m:d>
              <m:dPr>
                <m:begChr m:val="("/>
                <m:sepChr m:val=""/>
                <m:endChr m:val=")"/>
                <m:grow/>
              </m:dPr>
              <m:e>
                <m:r>
                  <m:t>28.0000</m:t>
                </m:r>
              </m:e>
            </m:d>
          </m:e>
        </m:rad>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84"/>
    <w:bookmarkStart w:id="85" w:name="X098698f3093fb267592f332cd192b9499703fa8"/>
    <w:p>
      <w:pPr>
        <w:pStyle w:val="Heading3"/>
      </w:pPr>
      <w:r>
        <w:rPr>
          <w:rStyle w:val="VerbatimChar"/>
        </w:rPr>
        <w:t xml:space="preserve">T04-A05-V10</w:t>
      </w:r>
      <w:r>
        <w:t xml:space="preserve">: Routenkomplexität und Abschlussrate</w:t>
      </w:r>
    </w:p>
    <w:p>
      <w:pPr>
        <w:pStyle w:val="FirstParagraph"/>
      </w:pPr>
      <w:r>
        <w:rPr>
          <w:b/>
          <w:bCs/>
        </w:rPr>
        <w:t xml:space="preserve">Vor dem Rechnen begründen</w:t>
      </w:r>
    </w:p>
    <w:p>
      <w:pPr>
        <w:pStyle w:val="BodyText"/>
      </w:pPr>
      <w:r>
        <w:t xml:space="preserve">Die Koordinaten (1, 95), (2, 83), (3, 72), (4, 62), (5, 53), (6, 45), (7, 38) bilden eine fallende Kurve.</w:t>
      </w:r>
    </w:p>
    <w:p>
      <w:pPr>
        <w:pStyle w:val="BodyText"/>
      </w:pPr>
      <w:r>
        <w:t xml:space="preserve">Bei jeder Zunahme von</w:t>
      </w:r>
      <w:r>
        <w:t xml:space="preserve"> </w:t>
      </w:r>
      <m:oMath>
        <m:r>
          <m:t>X</m:t>
        </m:r>
      </m:oMath>
      <w:r>
        <w:t xml:space="preserve"> </w:t>
      </w:r>
      <w:r>
        <w:t xml:space="preserve">nimmt</w:t>
      </w:r>
      <w:r>
        <w:t xml:space="preserve"> </w:t>
      </w:r>
      <m:oMath>
        <m:r>
          <m:t>Y</m:t>
        </m:r>
      </m:oMath>
      <w:r>
        <w:t xml:space="preserve"> </w:t>
      </w:r>
      <w:r>
        <w:t xml:space="preserve">ab, aber das Ausmass der Veränderung ist nicht konstant.</w:t>
      </w:r>
    </w:p>
    <w:p>
      <w:pPr>
        <w:pStyle w:val="BodyText"/>
      </w:pPr>
      <w:r>
        <w:rPr>
          <w:b/>
          <w:bCs/>
        </w:rPr>
        <w:t xml:space="preserve">Berechnung durchführen</w:t>
      </w:r>
    </w:p>
    <w:p>
      <w:pPr>
        <w:pStyle w:val="BodyText"/>
      </w:pPr>
      <w:r>
        <w:t xml:space="preserve">Für die Originalwerte gelten</w:t>
      </w:r>
      <w:r>
        <w:t xml:space="preserve"> </w:t>
      </w:r>
      <m:oMath>
        <m:acc>
          <m:accPr>
            <m:chr m:val="‾"/>
          </m:accPr>
          <m:e>
            <m:r>
              <m:t>x</m:t>
            </m:r>
          </m:e>
        </m:acc>
        <m:r>
          <m:rPr>
            <m:sty m:val="p"/>
          </m:rPr>
          <m:t>=</m:t>
        </m:r>
        <m:r>
          <m:t>4.0000</m:t>
        </m:r>
      </m:oMath>
      <w:r>
        <w:t xml:space="preserve">,</w:t>
      </w:r>
      <w:r>
        <w:t xml:space="preserve"> </w:t>
      </w:r>
      <m:oMath>
        <m:acc>
          <m:accPr>
            <m:chr m:val="‾"/>
          </m:accPr>
          <m:e>
            <m:r>
              <m:t>y</m:t>
            </m:r>
          </m:e>
        </m:acc>
        <m:r>
          <m:rPr>
            <m:sty m:val="p"/>
          </m:rPr>
          <m:t>=</m:t>
        </m:r>
        <m:r>
          <m:t>64.0000</m:t>
        </m:r>
      </m:oMath>
      <w:r>
        <w:t xml:space="preserve">,</w:t>
      </w:r>
      <w:r>
        <w:t xml:space="preserve"> </w:t>
      </w:r>
      <m:oMath>
        <m:sSub>
          <m:e>
            <m:r>
              <m:t>S</m:t>
            </m:r>
          </m:e>
          <m:sub>
            <m:r>
              <m:t>x</m:t>
            </m:r>
            <m:r>
              <m:t>y</m:t>
            </m:r>
          </m:sub>
        </m:sSub>
        <m:r>
          <m:rPr>
            <m:sty m:val="p"/>
          </m:rPr>
          <m:t>=</m:t>
        </m:r>
        <m:r>
          <m:rPr>
            <m:sty m:val="p"/>
          </m:rPr>
          <m:t>−</m:t>
        </m:r>
        <m:r>
          <m:t>266.0000</m:t>
        </m:r>
      </m:oMath>
      <w:r>
        <w:t xml:space="preserve">,</w:t>
      </w:r>
      <w:r>
        <w:t xml:space="preserve"> </w:t>
      </w:r>
      <m:oMath>
        <m:sSub>
          <m:e>
            <m:r>
              <m:t>S</m:t>
            </m:r>
          </m:e>
          <m:sub>
            <m:r>
              <m:t>x</m:t>
            </m:r>
            <m:r>
              <m:t>x</m:t>
            </m:r>
          </m:sub>
        </m:sSub>
        <m:r>
          <m:rPr>
            <m:sty m:val="p"/>
          </m:rPr>
          <m:t>=</m:t>
        </m:r>
        <m:r>
          <m:t>28.0000</m:t>
        </m:r>
      </m:oMath>
      <w:r>
        <w:t xml:space="preserve"> </w:t>
      </w:r>
      <w:r>
        <w:t xml:space="preserve">und</w:t>
      </w:r>
      <w:r>
        <w:t xml:space="preserve"> </w:t>
      </w:r>
      <m:oMath>
        <m:sSub>
          <m:e>
            <m:r>
              <m:t>S</m:t>
            </m:r>
          </m:e>
          <m:sub>
            <m:r>
              <m:t>y</m:t>
            </m:r>
            <m:r>
              <m:t>y</m:t>
            </m:r>
          </m:sub>
        </m:sSub>
        <m:r>
          <m:rPr>
            <m:sty m:val="p"/>
          </m:rPr>
          <m:t>=</m:t>
        </m:r>
        <m:r>
          <m:t>2548.0000</m:t>
        </m:r>
      </m:oMath>
      <w:r>
        <w:t xml:space="preserve">.</w:t>
      </w:r>
    </w:p>
    <w:p>
      <w:pPr>
        <w:pStyle w:val="BodyText"/>
      </w:pPr>
      <w:r>
        <w:t xml:space="preserve">Somit ist</w:t>
      </w:r>
      <w:r>
        <w:t xml:space="preserve"> </w:t>
      </w:r>
      <m:oMath>
        <m:r>
          <m:t>r</m:t>
        </m:r>
        <m:r>
          <m:rPr>
            <m:sty m:val="p"/>
          </m:rPr>
          <m:t>=</m:t>
        </m:r>
        <m:sSub>
          <m:e>
            <m:r>
              <m:t>S</m:t>
            </m:r>
          </m:e>
          <m:sub>
            <m:r>
              <m:t>x</m:t>
            </m:r>
            <m:r>
              <m:t>y</m:t>
            </m:r>
          </m:sub>
        </m:sSub>
        <m:r>
          <m:rPr>
            <m:sty m:val="p"/>
          </m:rPr>
          <m:t>/</m:t>
        </m:r>
        <m:rad>
          <m:radPr>
            <m:degHide m:val="on"/>
          </m:radPr>
          <m:deg/>
          <m:e>
            <m:sSub>
              <m:e>
                <m:r>
                  <m:t>S</m:t>
                </m:r>
              </m:e>
              <m:sub>
                <m:r>
                  <m:t>x</m:t>
                </m:r>
                <m:r>
                  <m:t>x</m:t>
                </m:r>
              </m:sub>
            </m:sSub>
            <m:sSub>
              <m:e>
                <m:r>
                  <m:t>S</m:t>
                </m:r>
              </m:e>
              <m:sub>
                <m:r>
                  <m:t>y</m:t>
                </m:r>
                <m:r>
                  <m:t>y</m:t>
                </m:r>
              </m:sub>
            </m:sSub>
          </m:e>
        </m:rad>
        <m:r>
          <m:rPr>
            <m:sty m:val="p"/>
          </m:rPr>
          <m:t>=</m:t>
        </m:r>
        <m:r>
          <m:rPr>
            <m:sty m:val="p"/>
          </m:rPr>
          <m:t>−</m:t>
        </m:r>
        <m:r>
          <m:t>266.0000</m:t>
        </m:r>
        <m:r>
          <m:rPr>
            <m:sty m:val="p"/>
          </m:rPr>
          <m:t>/</m:t>
        </m:r>
        <m:rad>
          <m:radPr>
            <m:degHide m:val="on"/>
          </m:radPr>
          <m:deg/>
          <m:e>
            <m:r>
              <m:t>28.0000</m:t>
            </m:r>
            <m:d>
              <m:dPr>
                <m:begChr m:val="("/>
                <m:sepChr m:val=""/>
                <m:endChr m:val=")"/>
                <m:grow/>
              </m:dPr>
              <m:e>
                <m:r>
                  <m:t>2548.0000</m:t>
                </m:r>
              </m:e>
            </m:d>
          </m:e>
        </m:rad>
        <m:r>
          <m:rPr>
            <m:sty m:val="p"/>
          </m:rPr>
          <m:t>=</m:t>
        </m:r>
        <m:r>
          <m:rPr>
            <m:sty m:val="p"/>
          </m:rPr>
          <m:t>−</m:t>
        </m:r>
        <m:r>
          <m:t>0.9959</m:t>
        </m:r>
      </m:oMath>
      <w:r>
        <w:t xml:space="preserve">.</w:t>
      </w:r>
    </w:p>
    <w:p>
      <w:pPr>
        <w:pStyle w:val="BodyText"/>
      </w:pPr>
      <w:r>
        <w:t xml:space="preserve">Die Rangvektoren sind</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und</w:t>
      </w:r>
      <w:r>
        <w:t xml:space="preserve"> </w:t>
      </w:r>
      <m:oMath>
        <m:sSub>
          <m:e>
            <m:r>
              <m:t>R</m:t>
            </m:r>
          </m:e>
          <m:sub>
            <m:r>
              <m:t>Y</m:t>
            </m:r>
          </m:sub>
        </m:sSub>
        <m:r>
          <m:rPr>
            <m:sty m:val="p"/>
          </m:rPr>
          <m:t>=</m:t>
        </m:r>
        <m:d>
          <m:dPr>
            <m:begChr m:val="("/>
            <m:sepChr m:val=""/>
            <m:endChr m:val=")"/>
            <m:grow/>
          </m:dPr>
          <m:e>
            <m:r>
              <m:t>7</m:t>
            </m:r>
            <m:r>
              <m:rPr>
                <m:sty m:val="p"/>
              </m:rPr>
              <m:t>,</m:t>
            </m:r>
            <m:r>
              <m:t>6</m:t>
            </m:r>
            <m:r>
              <m:rPr>
                <m:sty m:val="p"/>
              </m:rPr>
              <m:t>,</m:t>
            </m:r>
            <m:r>
              <m:t>5</m:t>
            </m:r>
            <m:r>
              <m:rPr>
                <m:sty m:val="p"/>
              </m:rPr>
              <m:t>,</m:t>
            </m:r>
            <m:r>
              <m:t>4</m:t>
            </m:r>
            <m:r>
              <m:rPr>
                <m:sty m:val="p"/>
              </m:rPr>
              <m:t>,</m:t>
            </m:r>
            <m:r>
              <m:t>3</m:t>
            </m:r>
            <m:r>
              <m:rPr>
                <m:sty m:val="p"/>
              </m:rPr>
              <m:t>,</m:t>
            </m:r>
            <m:r>
              <m:t>2</m:t>
            </m:r>
            <m:r>
              <m:rPr>
                <m:sty m:val="p"/>
              </m:rPr>
              <m:t>,</m:t>
            </m:r>
            <m:r>
              <m:t>1</m:t>
            </m:r>
          </m:e>
        </m:d>
      </m:oMath>
      <w:r>
        <w:t xml:space="preserve">, beide mit mittlerem Rang 4.0.</w:t>
      </w:r>
    </w:p>
    <w:p>
      <w:pPr>
        <w:pStyle w:val="BodyText"/>
      </w:pPr>
      <w:r>
        <w:rPr>
          <w:b/>
          <w:bCs/>
        </w:rPr>
        <w:t xml:space="preserve">Ergebnis interpretieren und prüfen</w:t>
      </w:r>
    </w:p>
    <w:p>
      <w:pPr>
        <w:pStyle w:val="BodyText"/>
      </w:pPr>
      <w:r>
        <w:t xml:space="preserve">Ihre Kreuzproduktsumme ist -28.0000, die quadrierten Abweichungssummen sind 28.0000 und 28.0000; deshalb</w:t>
      </w:r>
      <w:r>
        <w:t xml:space="preserve"> </w:t>
      </w:r>
      <m:oMath>
        <m:sSub>
          <m:e>
            <m:r>
              <m:t>r</m:t>
            </m:r>
          </m:e>
          <m:sub>
            <m:r>
              <m:t>s</m:t>
            </m:r>
          </m:sub>
        </m:sSub>
        <m:r>
          <m:rPr>
            <m:sty m:val="p"/>
          </m:rPr>
          <m:t>=</m:t>
        </m:r>
        <m:r>
          <m:rPr>
            <m:sty m:val="p"/>
          </m:rPr>
          <m:t>−</m:t>
        </m:r>
        <m:r>
          <m:t>28.0000</m:t>
        </m:r>
        <m:r>
          <m:rPr>
            <m:sty m:val="p"/>
          </m:rPr>
          <m:t>/</m:t>
        </m:r>
        <m:rad>
          <m:radPr>
            <m:degHide m:val="on"/>
          </m:radPr>
          <m:deg/>
          <m:e>
            <m:r>
              <m:t>28.0000</m:t>
            </m:r>
            <m:d>
              <m:dPr>
                <m:begChr m:val="("/>
                <m:sepChr m:val=""/>
                <m:endChr m:val=")"/>
                <m:grow/>
              </m:dPr>
              <m:e>
                <m:r>
                  <m:t>28.0000</m:t>
                </m:r>
              </m:e>
            </m:d>
          </m:e>
        </m:rad>
        <m:r>
          <m:rPr>
            <m:sty m:val="p"/>
          </m:rPr>
          <m:t>=</m:t>
        </m:r>
        <m:r>
          <m:rPr>
            <m:sty m:val="p"/>
          </m:rPr>
          <m:t>−</m:t>
        </m:r>
        <m:r>
          <m:t>1.0000</m:t>
        </m:r>
      </m:oMath>
      <w:r>
        <w:t xml:space="preserve">.</w:t>
      </w:r>
    </w:p>
    <w:p>
      <w:pPr>
        <w:pStyle w:val="BodyText"/>
      </w:pPr>
      <w:r>
        <w:t xml:space="preserve">Spearman erreicht -1, weil die Ordnung perfekt monoton ist.</w:t>
      </w:r>
    </w:p>
    <w:p>
      <w:pPr>
        <w:pStyle w:val="BodyText"/>
      </w:pPr>
      <w:r>
        <w:t xml:space="preserve">Pearson hat einen kleineren Betrag, weil er die Nähe zu einer Geraden misst und auf die wechselnde Steigung reagiert.</w:t>
      </w:r>
    </w:p>
    <w:bookmarkEnd w:id="85"/>
    <w:bookmarkEnd w:id="86"/>
    <w:bookmarkStart w:id="97" w:name="X6640f4aa769af8b9659df945fb8b610488fc208"/>
    <w:p>
      <w:pPr>
        <w:pStyle w:val="Heading2"/>
      </w:pPr>
      <w:r>
        <w:t xml:space="preserve">A06: Spearman-Korrelation bei Bindungen und positiven Transformationen</w:t>
      </w:r>
    </w:p>
    <w:bookmarkStart w:id="87" w:name="Xc24ec54465fe38a138c2eec48d494cb0ee41077"/>
    <w:p>
      <w:pPr>
        <w:pStyle w:val="Heading3"/>
      </w:pPr>
      <w:r>
        <w:rPr>
          <w:rStyle w:val="VerbatimChar"/>
        </w:rPr>
        <w:t xml:space="preserve">T04-A06-V01</w:t>
      </w:r>
      <w:r>
        <w:t xml:space="preserve">: Übungstage und Selbstvertrauen</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39.0000, ihre quadrierten Abweichungssummen 40.5000 und 41.0000.</w:t>
      </w:r>
    </w:p>
    <w:p>
      <w:pPr>
        <w:pStyle w:val="BodyText"/>
      </w:pPr>
      <w:r>
        <w:t xml:space="preserve">Somit ist</w:t>
      </w:r>
      <w:r>
        <w:t xml:space="preserve"> </w:t>
      </w:r>
      <m:oMath>
        <m:sSub>
          <m:e>
            <m:r>
              <m:t>r</m:t>
            </m:r>
          </m:e>
          <m:sub>
            <m:r>
              <m:t>s</m:t>
            </m:r>
          </m:sub>
        </m:sSub>
        <m:r>
          <m:rPr>
            <m:sty m:val="p"/>
          </m:rPr>
          <m:t>=</m:t>
        </m:r>
        <m:r>
          <m:t>39.0000</m:t>
        </m:r>
        <m:r>
          <m:rPr>
            <m:sty m:val="p"/>
          </m:rPr>
          <m:t>/</m:t>
        </m:r>
        <m:rad>
          <m:radPr>
            <m:degHide m:val="on"/>
          </m:radPr>
          <m:deg/>
          <m:e>
            <m:r>
              <m:t>40.5000</m:t>
            </m:r>
            <m:d>
              <m:dPr>
                <m:begChr m:val="("/>
                <m:sepChr m:val=""/>
                <m:endChr m:val=")"/>
                <m:grow/>
              </m:dPr>
              <m:e>
                <m:r>
                  <m:t>41.0000</m:t>
                </m:r>
              </m:e>
            </m:d>
          </m:e>
        </m:rad>
        <m:r>
          <m:rPr>
            <m:sty m:val="p"/>
          </m:rPr>
          <m:t>=</m:t>
        </m:r>
        <m:r>
          <m:t>0.9571</m:t>
        </m:r>
      </m:oMath>
      <w:r>
        <w:t xml:space="preserve">.</w:t>
      </w:r>
    </w:p>
    <w:p>
      <w:pPr>
        <w:pStyle w:val="BodyText"/>
      </w:pPr>
      <w:r>
        <w:t xml:space="preserve">Die Transformation</w:t>
      </w:r>
      <w:r>
        <w:t xml:space="preserve"> </w:t>
      </w:r>
      <m:oMath>
        <m:sSup>
          <m:e>
            <m:r>
              <m:t>Y</m:t>
            </m:r>
          </m:e>
          <m:sup>
            <m:r>
              <m:rPr>
                <m:sty m:val="p"/>
              </m:rPr>
              <m:t>*</m:t>
            </m:r>
          </m:sup>
        </m:sSup>
        <m:r>
          <m:rPr>
            <m:sty m:val="p"/>
          </m:rPr>
          <m:t>=</m:t>
        </m:r>
        <m:r>
          <m:t>5</m:t>
        </m:r>
        <m:r>
          <m:rPr>
            <m:sty m:val="p"/>
          </m:rPr>
          <m:t>+</m:t>
        </m:r>
        <m:r>
          <m:t>2</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0.9571</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87"/>
    <w:bookmarkStart w:id="88" w:name="t04-a06-v02-museumsbesuche-und-wissen"/>
    <w:p>
      <w:pPr>
        <w:pStyle w:val="Heading3"/>
      </w:pPr>
      <w:r>
        <w:rPr>
          <w:rStyle w:val="VerbatimChar"/>
        </w:rPr>
        <w:t xml:space="preserve">T04-A06-V02</w:t>
      </w:r>
      <w:r>
        <w:t xml:space="preserve">: Museumsbesuche und Wissen</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38.7500, ihre quadrierten Abweichungssummen 40.5000 und 41.0000.</w:t>
      </w:r>
    </w:p>
    <w:p>
      <w:pPr>
        <w:pStyle w:val="BodyText"/>
      </w:pPr>
      <w:r>
        <w:t xml:space="preserve">Somit ist</w:t>
      </w:r>
      <w:r>
        <w:t xml:space="preserve"> </w:t>
      </w:r>
      <m:oMath>
        <m:sSub>
          <m:e>
            <m:r>
              <m:t>r</m:t>
            </m:r>
          </m:e>
          <m:sub>
            <m:r>
              <m:t>s</m:t>
            </m:r>
          </m:sub>
        </m:sSub>
        <m:r>
          <m:rPr>
            <m:sty m:val="p"/>
          </m:rPr>
          <m:t>=</m:t>
        </m:r>
        <m:r>
          <m:t>38.7500</m:t>
        </m:r>
        <m:r>
          <m:rPr>
            <m:sty m:val="p"/>
          </m:rPr>
          <m:t>/</m:t>
        </m:r>
        <m:rad>
          <m:radPr>
            <m:degHide m:val="on"/>
          </m:radPr>
          <m:deg/>
          <m:e>
            <m:r>
              <m:t>40.5000</m:t>
            </m:r>
            <m:d>
              <m:dPr>
                <m:begChr m:val="("/>
                <m:sepChr m:val=""/>
                <m:endChr m:val=")"/>
                <m:grow/>
              </m:dPr>
              <m:e>
                <m:r>
                  <m:t>41.0000</m:t>
                </m:r>
              </m:e>
            </m:d>
          </m:e>
        </m:rad>
        <m:r>
          <m:rPr>
            <m:sty m:val="p"/>
          </m:rPr>
          <m:t>=</m:t>
        </m:r>
        <m:r>
          <m:t>0.9509</m:t>
        </m:r>
      </m:oMath>
      <w:r>
        <w:t xml:space="preserve">.</w:t>
      </w:r>
    </w:p>
    <w:p>
      <w:pPr>
        <w:pStyle w:val="BodyText"/>
      </w:pPr>
      <w:r>
        <w:t xml:space="preserve">Die Transformation</w:t>
      </w:r>
      <w:r>
        <w:t xml:space="preserve"> </w:t>
      </w:r>
      <m:oMath>
        <m:sSup>
          <m:e>
            <m:r>
              <m:t>Y</m:t>
            </m:r>
          </m:e>
          <m:sup>
            <m:r>
              <m:rPr>
                <m:sty m:val="p"/>
              </m:rPr>
              <m:t>*</m:t>
            </m:r>
          </m:sup>
        </m:sSup>
        <m:r>
          <m:rPr>
            <m:sty m:val="p"/>
          </m:rPr>
          <m:t>=</m:t>
        </m:r>
        <m:r>
          <m:t>7</m:t>
        </m:r>
        <m:r>
          <m:rPr>
            <m:sty m:val="p"/>
          </m:rPr>
          <m:t>+</m:t>
        </m:r>
        <m:r>
          <m:t>3</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0.9509</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88"/>
    <w:bookmarkStart w:id="89" w:name="X34e75c2f1a10a9c5cbc94acaa5d8bd881f0723b"/>
    <w:p>
      <w:pPr>
        <w:pStyle w:val="Heading3"/>
      </w:pPr>
      <w:r>
        <w:rPr>
          <w:rStyle w:val="VerbatimChar"/>
        </w:rPr>
        <w:t xml:space="preserve">T04-A06-V03</w:t>
      </w:r>
      <w:r>
        <w:t xml:space="preserve">: Archivschichten und Abruffähigkeit</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m:t>
            </m:r>
            <m:r>
              <m:rPr>
                <m:sty m:val="p"/>
              </m:rPr>
              <m:t>,</m:t>
            </m:r>
            <m:r>
              <m:t>3</m:t>
            </m:r>
            <m:r>
              <m:rPr>
                <m:sty m:val="p"/>
              </m:rPr>
              <m:t>,</m:t>
            </m:r>
            <m:r>
              <m:t>3</m:t>
            </m:r>
            <m:r>
              <m:rPr>
                <m:sty m:val="p"/>
              </m:rPr>
              <m:t>,</m:t>
            </m:r>
            <m:r>
              <m:t>3</m:t>
            </m:r>
            <m:r>
              <m:rPr>
                <m:sty m:val="p"/>
              </m:rPr>
              <m:t>,</m:t>
            </m:r>
            <m:r>
              <m:t>5</m:t>
            </m:r>
            <m:r>
              <m:rPr>
                <m:sty m:val="p"/>
              </m:rPr>
              <m:t>,</m:t>
            </m:r>
            <m:r>
              <m:t>6.5</m:t>
            </m:r>
            <m:r>
              <m:rPr>
                <m:sty m:val="p"/>
              </m:rPr>
              <m:t>,</m:t>
            </m:r>
            <m:r>
              <m:t>6.5</m:t>
            </m:r>
            <m:r>
              <m:rPr>
                <m:sty m:val="p"/>
              </m:rPr>
              <m:t>,</m:t>
            </m:r>
            <m:r>
              <m:t>8</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38.7500, ihre quadrierten Abweichungssummen 39.5000 und 41.0000.</w:t>
      </w:r>
    </w:p>
    <w:p>
      <w:pPr>
        <w:pStyle w:val="BodyText"/>
      </w:pPr>
      <w:r>
        <w:t xml:space="preserve">Somit ist</w:t>
      </w:r>
      <w:r>
        <w:t xml:space="preserve"> </w:t>
      </w:r>
      <m:oMath>
        <m:sSub>
          <m:e>
            <m:r>
              <m:t>r</m:t>
            </m:r>
          </m:e>
          <m:sub>
            <m:r>
              <m:t>s</m:t>
            </m:r>
          </m:sub>
        </m:sSub>
        <m:r>
          <m:rPr>
            <m:sty m:val="p"/>
          </m:rPr>
          <m:t>=</m:t>
        </m:r>
        <m:r>
          <m:t>38.7500</m:t>
        </m:r>
        <m:r>
          <m:rPr>
            <m:sty m:val="p"/>
          </m:rPr>
          <m:t>/</m:t>
        </m:r>
        <m:rad>
          <m:radPr>
            <m:degHide m:val="on"/>
          </m:radPr>
          <m:deg/>
          <m:e>
            <m:r>
              <m:t>39.5000</m:t>
            </m:r>
            <m:d>
              <m:dPr>
                <m:begChr m:val="("/>
                <m:sepChr m:val=""/>
                <m:endChr m:val=")"/>
                <m:grow/>
              </m:dPr>
              <m:e>
                <m:r>
                  <m:t>41.0000</m:t>
                </m:r>
              </m:e>
            </m:d>
          </m:e>
        </m:rad>
        <m:r>
          <m:rPr>
            <m:sty m:val="p"/>
          </m:rPr>
          <m:t>=</m:t>
        </m:r>
        <m:r>
          <m:t>0.9629</m:t>
        </m:r>
      </m:oMath>
      <w:r>
        <w:t xml:space="preserve">.</w:t>
      </w:r>
    </w:p>
    <w:p>
      <w:pPr>
        <w:pStyle w:val="BodyText"/>
      </w:pPr>
      <w:r>
        <w:t xml:space="preserve">Die Transformation</w:t>
      </w:r>
      <w:r>
        <w:t xml:space="preserve"> </w:t>
      </w:r>
      <m:oMath>
        <m:sSup>
          <m:e>
            <m:r>
              <m:t>Y</m:t>
            </m:r>
          </m:e>
          <m:sup>
            <m:r>
              <m:rPr>
                <m:sty m:val="p"/>
              </m:rPr>
              <m:t>*</m:t>
            </m:r>
          </m:sup>
        </m:sSup>
        <m:r>
          <m:rPr>
            <m:sty m:val="p"/>
          </m:rPr>
          <m:t>=</m:t>
        </m:r>
        <m:r>
          <m:t>4</m:t>
        </m:r>
        <m:r>
          <m:rPr>
            <m:sty m:val="p"/>
          </m:rPr>
          <m:t>+</m:t>
        </m:r>
        <m:r>
          <m:t>2</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0.9629</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89"/>
    <w:bookmarkStart w:id="90" w:name="t04-a06-v04-lesesitzungen-und-erinnerung"/>
    <w:p>
      <w:pPr>
        <w:pStyle w:val="Heading3"/>
      </w:pPr>
      <w:r>
        <w:rPr>
          <w:rStyle w:val="VerbatimChar"/>
        </w:rPr>
        <w:t xml:space="preserve">T04-A06-V04</w:t>
      </w:r>
      <w:r>
        <w:t xml:space="preserve">: Lesesitzungen und Erinnerung</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1.5</m:t>
            </m:r>
            <m:r>
              <m:rPr>
                <m:sty m:val="p"/>
              </m:rPr>
              <m:t>,</m:t>
            </m:r>
            <m:r>
              <m:t>1.5</m:t>
            </m:r>
            <m:r>
              <m:rPr>
                <m:sty m:val="p"/>
              </m:rPr>
              <m:t>,</m:t>
            </m:r>
            <m:r>
              <m:t>3</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39.7500, ihre quadrierten Abweichungssummen 40.5000 und 41.0000.</w:t>
      </w:r>
    </w:p>
    <w:p>
      <w:pPr>
        <w:pStyle w:val="BodyText"/>
      </w:pPr>
      <w:r>
        <w:t xml:space="preserve">Somit ist</w:t>
      </w:r>
      <w:r>
        <w:t xml:space="preserve"> </w:t>
      </w:r>
      <m:oMath>
        <m:sSub>
          <m:e>
            <m:r>
              <m:t>r</m:t>
            </m:r>
          </m:e>
          <m:sub>
            <m:r>
              <m:t>s</m:t>
            </m:r>
          </m:sub>
        </m:sSub>
        <m:r>
          <m:rPr>
            <m:sty m:val="p"/>
          </m:rPr>
          <m:t>=</m:t>
        </m:r>
        <m:r>
          <m:t>39.7500</m:t>
        </m:r>
        <m:r>
          <m:rPr>
            <m:sty m:val="p"/>
          </m:rPr>
          <m:t>/</m:t>
        </m:r>
        <m:rad>
          <m:radPr>
            <m:degHide m:val="on"/>
          </m:radPr>
          <m:deg/>
          <m:e>
            <m:r>
              <m:t>40.5000</m:t>
            </m:r>
            <m:d>
              <m:dPr>
                <m:begChr m:val="("/>
                <m:sepChr m:val=""/>
                <m:endChr m:val=")"/>
                <m:grow/>
              </m:dPr>
              <m:e>
                <m:r>
                  <m:t>41.0000</m:t>
                </m:r>
              </m:e>
            </m:d>
          </m:e>
        </m:rad>
        <m:r>
          <m:rPr>
            <m:sty m:val="p"/>
          </m:rPr>
          <m:t>=</m:t>
        </m:r>
        <m:r>
          <m:t>0.9755</m:t>
        </m:r>
      </m:oMath>
      <w:r>
        <w:t xml:space="preserve">.</w:t>
      </w:r>
    </w:p>
    <w:p>
      <w:pPr>
        <w:pStyle w:val="BodyText"/>
      </w:pPr>
      <w:r>
        <w:t xml:space="preserve">Die Transformation</w:t>
      </w:r>
      <w:r>
        <w:t xml:space="preserve"> </w:t>
      </w:r>
      <m:oMath>
        <m:sSup>
          <m:e>
            <m:r>
              <m:t>Y</m:t>
            </m:r>
          </m:e>
          <m:sup>
            <m:r>
              <m:rPr>
                <m:sty m:val="p"/>
              </m:rPr>
              <m:t>*</m:t>
            </m:r>
          </m:sup>
        </m:sSup>
        <m:r>
          <m:rPr>
            <m:sty m:val="p"/>
          </m:rPr>
          <m:t>=</m:t>
        </m:r>
        <m:r>
          <m:t>3</m:t>
        </m:r>
        <m:r>
          <m:rPr>
            <m:sty m:val="p"/>
          </m:rPr>
          <m:t>+</m:t>
        </m:r>
        <m:r>
          <m:t>4</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1.5</m:t>
            </m:r>
            <m:r>
              <m:rPr>
                <m:sty m:val="p"/>
              </m:rPr>
              <m:t>,</m:t>
            </m:r>
            <m:r>
              <m:t>1.5</m:t>
            </m:r>
            <m:r>
              <m:rPr>
                <m:sty m:val="p"/>
              </m:rPr>
              <m:t>,</m:t>
            </m:r>
            <m:r>
              <m:t>3</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0.9755</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0"/>
    <w:bookmarkStart w:id="91" w:name="X81937f0eebba3d293adebae6d0c546b3ff6ba6e"/>
    <w:p>
      <w:pPr>
        <w:pStyle w:val="Heading3"/>
      </w:pPr>
      <w:r>
        <w:rPr>
          <w:rStyle w:val="VerbatimChar"/>
        </w:rPr>
        <w:t xml:space="preserve">T04-A06-V05</w:t>
      </w:r>
      <w:r>
        <w:t xml:space="preserve">: Routenversuche und Genauigkeit</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3.5</m:t>
            </m:r>
            <m:r>
              <m:rPr>
                <m:sty m:val="p"/>
              </m:rPr>
              <m:t>,</m:t>
            </m:r>
            <m:r>
              <m:t>3.5</m:t>
            </m:r>
            <m:r>
              <m:rPr>
                <m:sty m:val="p"/>
              </m:rPr>
              <m:t>,</m:t>
            </m:r>
            <m:r>
              <m:t>5</m:t>
            </m:r>
            <m:r>
              <m:rPr>
                <m:sty m:val="p"/>
              </m:rPr>
              <m:t>,</m:t>
            </m:r>
            <m:r>
              <m:t>6</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39.0000, ihre quadrierten Abweichungssummen 40.5000 und 41.0000.</w:t>
      </w:r>
    </w:p>
    <w:p>
      <w:pPr>
        <w:pStyle w:val="BodyText"/>
      </w:pPr>
      <w:r>
        <w:t xml:space="preserve">Somit ist</w:t>
      </w:r>
      <w:r>
        <w:t xml:space="preserve"> </w:t>
      </w:r>
      <m:oMath>
        <m:sSub>
          <m:e>
            <m:r>
              <m:t>r</m:t>
            </m:r>
          </m:e>
          <m:sub>
            <m:r>
              <m:t>s</m:t>
            </m:r>
          </m:sub>
        </m:sSub>
        <m:r>
          <m:rPr>
            <m:sty m:val="p"/>
          </m:rPr>
          <m:t>=</m:t>
        </m:r>
        <m:r>
          <m:t>39.0000</m:t>
        </m:r>
        <m:r>
          <m:rPr>
            <m:sty m:val="p"/>
          </m:rPr>
          <m:t>/</m:t>
        </m:r>
        <m:rad>
          <m:radPr>
            <m:degHide m:val="on"/>
          </m:radPr>
          <m:deg/>
          <m:e>
            <m:r>
              <m:t>40.5000</m:t>
            </m:r>
            <m:d>
              <m:dPr>
                <m:begChr m:val="("/>
                <m:sepChr m:val=""/>
                <m:endChr m:val=")"/>
                <m:grow/>
              </m:dPr>
              <m:e>
                <m:r>
                  <m:t>41.0000</m:t>
                </m:r>
              </m:e>
            </m:d>
          </m:e>
        </m:rad>
        <m:r>
          <m:rPr>
            <m:sty m:val="p"/>
          </m:rPr>
          <m:t>=</m:t>
        </m:r>
        <m:r>
          <m:t>0.9571</m:t>
        </m:r>
      </m:oMath>
      <w:r>
        <w:t xml:space="preserve">.</w:t>
      </w:r>
    </w:p>
    <w:p>
      <w:pPr>
        <w:pStyle w:val="BodyText"/>
      </w:pPr>
      <w:r>
        <w:t xml:space="preserve">Die Transformation</w:t>
      </w:r>
      <w:r>
        <w:t xml:space="preserve"> </w:t>
      </w:r>
      <m:oMath>
        <m:sSup>
          <m:e>
            <m:r>
              <m:t>Y</m:t>
            </m:r>
          </m:e>
          <m:sup>
            <m:r>
              <m:rPr>
                <m:sty m:val="p"/>
              </m:rPr>
              <m:t>*</m:t>
            </m:r>
          </m:sup>
        </m:sSup>
        <m:r>
          <m:rPr>
            <m:sty m:val="p"/>
          </m:rPr>
          <m:t>=</m:t>
        </m:r>
        <m:r>
          <m:t>6</m:t>
        </m:r>
        <m:r>
          <m:rPr>
            <m:sty m:val="p"/>
          </m:rPr>
          <m:t>+</m:t>
        </m:r>
        <m:r>
          <m:t>2</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0.9571</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1"/>
    <w:bookmarkStart w:id="92" w:name="Xce318b5aa3c643a2567dcd8bf9bfcb3c641cd5c"/>
    <w:p>
      <w:pPr>
        <w:pStyle w:val="Heading3"/>
      </w:pPr>
      <w:r>
        <w:rPr>
          <w:rStyle w:val="VerbatimChar"/>
        </w:rPr>
        <w:t xml:space="preserve">T04-A06-V06</w:t>
      </w:r>
      <w:r>
        <w:t xml:space="preserve">: Workshop-Teilnahme und logisches Denken</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38.7500, ihre quadrierten Abweichungssummen 40.5000 und 41.0000.</w:t>
      </w:r>
    </w:p>
    <w:p>
      <w:pPr>
        <w:pStyle w:val="BodyText"/>
      </w:pPr>
      <w:r>
        <w:t xml:space="preserve">Somit ist</w:t>
      </w:r>
      <w:r>
        <w:t xml:space="preserve"> </w:t>
      </w:r>
      <m:oMath>
        <m:sSub>
          <m:e>
            <m:r>
              <m:t>r</m:t>
            </m:r>
          </m:e>
          <m:sub>
            <m:r>
              <m:t>s</m:t>
            </m:r>
          </m:sub>
        </m:sSub>
        <m:r>
          <m:rPr>
            <m:sty m:val="p"/>
          </m:rPr>
          <m:t>=</m:t>
        </m:r>
        <m:r>
          <m:t>38.7500</m:t>
        </m:r>
        <m:r>
          <m:rPr>
            <m:sty m:val="p"/>
          </m:rPr>
          <m:t>/</m:t>
        </m:r>
        <m:rad>
          <m:radPr>
            <m:degHide m:val="on"/>
          </m:radPr>
          <m:deg/>
          <m:e>
            <m:r>
              <m:t>40.5000</m:t>
            </m:r>
            <m:d>
              <m:dPr>
                <m:begChr m:val="("/>
                <m:sepChr m:val=""/>
                <m:endChr m:val=")"/>
                <m:grow/>
              </m:dPr>
              <m:e>
                <m:r>
                  <m:t>41.0000</m:t>
                </m:r>
              </m:e>
            </m:d>
          </m:e>
        </m:rad>
        <m:r>
          <m:rPr>
            <m:sty m:val="p"/>
          </m:rPr>
          <m:t>=</m:t>
        </m:r>
        <m:r>
          <m:t>0.9509</m:t>
        </m:r>
      </m:oMath>
      <w:r>
        <w:t xml:space="preserve">.</w:t>
      </w:r>
    </w:p>
    <w:p>
      <w:pPr>
        <w:pStyle w:val="BodyText"/>
      </w:pPr>
      <w:r>
        <w:t xml:space="preserve">Die Transformation</w:t>
      </w:r>
      <w:r>
        <w:t xml:space="preserve"> </w:t>
      </w:r>
      <m:oMath>
        <m:sSup>
          <m:e>
            <m:r>
              <m:t>Y</m:t>
            </m:r>
          </m:e>
          <m:sup>
            <m:r>
              <m:rPr>
                <m:sty m:val="p"/>
              </m:rPr>
              <m:t>*</m:t>
            </m:r>
          </m:sup>
        </m:sSup>
        <m:r>
          <m:rPr>
            <m:sty m:val="p"/>
          </m:rPr>
          <m:t>=</m:t>
        </m:r>
        <m:r>
          <m:t>8</m:t>
        </m:r>
        <m:r>
          <m:rPr>
            <m:sty m:val="p"/>
          </m:rPr>
          <m:t>+</m:t>
        </m:r>
        <m:r>
          <m:t>3</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0.9509</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2"/>
    <w:bookmarkStart w:id="93" w:name="t04-a06-v07-übungsserien-und-flüssigkeit"/>
    <w:p>
      <w:pPr>
        <w:pStyle w:val="Heading3"/>
      </w:pPr>
      <w:r>
        <w:rPr>
          <w:rStyle w:val="VerbatimChar"/>
        </w:rPr>
        <w:t xml:space="preserve">T04-A06-V07</w:t>
      </w:r>
      <w:r>
        <w:t xml:space="preserve">: Übungsserien und Flüssigkeit</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39.5000, ihre quadrierten Abweichungssummen 40.5000 und 41.0000.</w:t>
      </w:r>
    </w:p>
    <w:p>
      <w:pPr>
        <w:pStyle w:val="BodyText"/>
      </w:pPr>
      <w:r>
        <w:t xml:space="preserve">Somit ist</w:t>
      </w:r>
      <w:r>
        <w:t xml:space="preserve"> </w:t>
      </w:r>
      <m:oMath>
        <m:sSub>
          <m:e>
            <m:r>
              <m:t>r</m:t>
            </m:r>
          </m:e>
          <m:sub>
            <m:r>
              <m:t>s</m:t>
            </m:r>
          </m:sub>
        </m:sSub>
        <m:r>
          <m:rPr>
            <m:sty m:val="p"/>
          </m:rPr>
          <m:t>=</m:t>
        </m:r>
        <m:r>
          <m:t>39.5000</m:t>
        </m:r>
        <m:r>
          <m:rPr>
            <m:sty m:val="p"/>
          </m:rPr>
          <m:t>/</m:t>
        </m:r>
        <m:rad>
          <m:radPr>
            <m:degHide m:val="on"/>
          </m:radPr>
          <m:deg/>
          <m:e>
            <m:r>
              <m:t>40.5000</m:t>
            </m:r>
            <m:d>
              <m:dPr>
                <m:begChr m:val="("/>
                <m:sepChr m:val=""/>
                <m:endChr m:val=")"/>
                <m:grow/>
              </m:dPr>
              <m:e>
                <m:r>
                  <m:t>41.0000</m:t>
                </m:r>
              </m:e>
            </m:d>
          </m:e>
        </m:rad>
        <m:r>
          <m:rPr>
            <m:sty m:val="p"/>
          </m:rPr>
          <m:t>=</m:t>
        </m:r>
        <m:r>
          <m:t>0.9693</m:t>
        </m:r>
      </m:oMath>
      <w:r>
        <w:t xml:space="preserve">.</w:t>
      </w:r>
    </w:p>
    <w:p>
      <w:pPr>
        <w:pStyle w:val="BodyText"/>
      </w:pPr>
      <w:r>
        <w:t xml:space="preserve">Die Transformation</w:t>
      </w:r>
      <w:r>
        <w:t xml:space="preserve"> </w:t>
      </w:r>
      <m:oMath>
        <m:sSup>
          <m:e>
            <m:r>
              <m:t>Y</m:t>
            </m:r>
          </m:e>
          <m:sup>
            <m:r>
              <m:rPr>
                <m:sty m:val="p"/>
              </m:rPr>
              <m:t>*</m:t>
            </m:r>
          </m:sup>
        </m:sSup>
        <m:r>
          <m:rPr>
            <m:sty m:val="p"/>
          </m:rPr>
          <m:t>=</m:t>
        </m:r>
        <m:r>
          <m:t>2</m:t>
        </m:r>
        <m:r>
          <m:rPr>
            <m:sty m:val="p"/>
          </m:rPr>
          <m:t>+</m:t>
        </m:r>
        <m:r>
          <m:t>5</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m:t>
            </m:r>
            <m:r>
              <m:rPr>
                <m:sty m:val="p"/>
              </m:rPr>
              <m:t>,</m:t>
            </m:r>
            <m:r>
              <m:t>6.5</m:t>
            </m:r>
            <m:r>
              <m:rPr>
                <m:sty m:val="p"/>
              </m:rPr>
              <m:t>,</m:t>
            </m:r>
            <m:r>
              <m:t>6.5</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0.9693</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3"/>
    <w:bookmarkStart w:id="94" w:name="X8548da43b24a5a418d96c9977637a4ef129985e"/>
    <w:p>
      <w:pPr>
        <w:pStyle w:val="Heading3"/>
      </w:pPr>
      <w:r>
        <w:rPr>
          <w:rStyle w:val="VerbatimChar"/>
        </w:rPr>
        <w:t xml:space="preserve">T04-A06-V08</w:t>
      </w:r>
      <w:r>
        <w:t xml:space="preserve">: Sucherfahrung und Geschwindigkeit</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1.5</m:t>
            </m:r>
            <m:r>
              <m:rPr>
                <m:sty m:val="p"/>
              </m:rPr>
              <m:t>,</m:t>
            </m:r>
            <m:r>
              <m:t>1.5</m:t>
            </m:r>
            <m:r>
              <m:rPr>
                <m:sty m:val="p"/>
              </m:rPr>
              <m:t>,</m:t>
            </m:r>
            <m:r>
              <m:t>3</m:t>
            </m:r>
            <m:r>
              <m:rPr>
                <m:sty m:val="p"/>
              </m:rPr>
              <m:t>,</m:t>
            </m:r>
            <m:r>
              <m:t>4.5</m:t>
            </m:r>
            <m:r>
              <m:rPr>
                <m:sty m:val="p"/>
              </m:rPr>
              <m:t>,</m:t>
            </m:r>
            <m:r>
              <m:t>4.5</m:t>
            </m:r>
            <m:r>
              <m:rPr>
                <m:sty m:val="p"/>
              </m:rPr>
              <m:t>,</m:t>
            </m:r>
            <m:r>
              <m:t>6.5</m:t>
            </m:r>
            <m:r>
              <m:rPr>
                <m:sty m:val="p"/>
              </m:rPr>
              <m:t>,</m:t>
            </m:r>
            <m:r>
              <m:t>6.5</m:t>
            </m:r>
            <m:r>
              <m:rPr>
                <m:sty m:val="p"/>
              </m:rPr>
              <m:t>,</m:t>
            </m:r>
            <m:r>
              <m:t>8</m:t>
            </m:r>
          </m:e>
        </m:d>
      </m:oMath>
      <w:r>
        <w:t xml:space="preserve"> </w:t>
      </w:r>
      <w:r>
        <w:t xml:space="preserve">und</w:t>
      </w:r>
      <w:r>
        <w:t xml:space="preserve"> </w:t>
      </w:r>
      <m:oMath>
        <m:sSub>
          <m:e>
            <m:r>
              <m:t>R</m:t>
            </m:r>
          </m:e>
          <m:sub>
            <m:r>
              <m:t>Y</m:t>
            </m:r>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-38.7500, ihre quadrierten Abweichungssummen 40.5000 und 41.0000.</w:t>
      </w:r>
    </w:p>
    <w:p>
      <w:pPr>
        <w:pStyle w:val="BodyText"/>
      </w:pPr>
      <w:r>
        <w:t xml:space="preserve">Somit ist</w:t>
      </w:r>
      <w:r>
        <w:t xml:space="preserve"> </w:t>
      </w:r>
      <m:oMath>
        <m:sSub>
          <m:e>
            <m:r>
              <m:t>r</m:t>
            </m:r>
          </m:e>
          <m:sub>
            <m:r>
              <m:t>s</m:t>
            </m:r>
          </m:sub>
        </m:sSub>
        <m:r>
          <m:rPr>
            <m:sty m:val="p"/>
          </m:rPr>
          <m:t>=</m:t>
        </m:r>
        <m:r>
          <m:rPr>
            <m:sty m:val="p"/>
          </m:rPr>
          <m:t>−</m:t>
        </m:r>
        <m:r>
          <m:t>38.7500</m:t>
        </m:r>
        <m:r>
          <m:rPr>
            <m:sty m:val="p"/>
          </m:rPr>
          <m:t>/</m:t>
        </m:r>
        <m:rad>
          <m:radPr>
            <m:degHide m:val="on"/>
          </m:radPr>
          <m:deg/>
          <m:e>
            <m:r>
              <m:t>40.5000</m:t>
            </m:r>
            <m:d>
              <m:dPr>
                <m:begChr m:val="("/>
                <m:sepChr m:val=""/>
                <m:endChr m:val=")"/>
                <m:grow/>
              </m:dPr>
              <m:e>
                <m:r>
                  <m:t>41.0000</m:t>
                </m:r>
              </m:e>
            </m:d>
          </m:e>
        </m:rad>
        <m:r>
          <m:rPr>
            <m:sty m:val="p"/>
          </m:rPr>
          <m:t>=</m:t>
        </m:r>
        <m:r>
          <m:rPr>
            <m:sty m:val="p"/>
          </m:rPr>
          <m:t>−</m:t>
        </m:r>
        <m:r>
          <m:t>0.9509</m:t>
        </m:r>
      </m:oMath>
      <w:r>
        <w:t xml:space="preserve">.</w:t>
      </w:r>
    </w:p>
    <w:p>
      <w:pPr>
        <w:pStyle w:val="BodyText"/>
      </w:pPr>
      <w:r>
        <w:t xml:space="preserve">Die Transformation</w:t>
      </w:r>
      <w:r>
        <w:t xml:space="preserve"> </w:t>
      </w:r>
      <m:oMath>
        <m:sSup>
          <m:e>
            <m:r>
              <m:t>Y</m:t>
            </m:r>
          </m:e>
          <m:sup>
            <m:r>
              <m:rPr>
                <m:sty m:val="p"/>
              </m:rPr>
              <m:t>*</m:t>
            </m:r>
          </m:sup>
        </m:sSup>
        <m:r>
          <m:rPr>
            <m:sty m:val="p"/>
          </m:rPr>
          <m:t>=</m:t>
        </m:r>
        <m:r>
          <m:t>100</m:t>
        </m:r>
        <m:r>
          <m:rPr>
            <m:sty m:val="p"/>
          </m:rPr>
          <m:t>+</m:t>
        </m:r>
        <m:r>
          <m:t>2</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 </w:t>
      </w:r>
      <w:r>
        <w:t xml:space="preserve">und</w:t>
      </w:r>
      <w:r>
        <w:t xml:space="preserve"> </w:t>
      </w:r>
      <m:oMath>
        <m:sSubSup>
          <m:e>
            <m:r>
              <m:t>r</m:t>
            </m:r>
          </m:e>
          <m:sub>
            <m:r>
              <m:t>s</m:t>
            </m:r>
          </m:sub>
          <m:sup>
            <m:r>
              <m:rPr>
                <m:sty m:val="p"/>
              </m:rPr>
              <m:t>*</m:t>
            </m:r>
          </m:sup>
        </m:sSubSup>
        <m:r>
          <m:rPr>
            <m:sty m:val="p"/>
          </m:rPr>
          <m:t>=</m:t>
        </m:r>
        <m:r>
          <m:rPr>
            <m:sty m:val="p"/>
          </m:rPr>
          <m:t>−</m:t>
        </m:r>
        <m:r>
          <m:t>0.9509</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4"/>
    <w:bookmarkStart w:id="95" w:name="X081af462e843cd4082c36b0c5e6b8f43efc9517"/>
    <w:p>
      <w:pPr>
        <w:pStyle w:val="Heading3"/>
      </w:pPr>
      <w:r>
        <w:rPr>
          <w:rStyle w:val="VerbatimChar"/>
        </w:rPr>
        <w:t xml:space="preserve">T04-A06-V09</w:t>
      </w:r>
      <w:r>
        <w:t xml:space="preserve">: Diskussionsbeiträge und Selbstvertrauen</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m:t>
            </m:r>
            <m:r>
              <m:rPr>
                <m:sty m:val="p"/>
              </m:rPr>
              <m:t>,</m:t>
            </m:r>
            <m:r>
              <m:t>5.5</m:t>
            </m:r>
            <m:r>
              <m:rPr>
                <m:sty m:val="p"/>
              </m:rPr>
              <m:t>,</m:t>
            </m:r>
            <m:r>
              <m:t>5.5</m:t>
            </m:r>
            <m:r>
              <m:rPr>
                <m:sty m:val="p"/>
              </m:rPr>
              <m:t>,</m:t>
            </m:r>
            <m:r>
              <m:t>7</m:t>
            </m:r>
            <m:r>
              <m:rPr>
                <m:sty m:val="p"/>
              </m:rPr>
              <m:t>,</m:t>
            </m:r>
            <m:r>
              <m:t>8</m:t>
            </m:r>
          </m:e>
        </m:d>
      </m:oMath>
      <w:r>
        <w:t xml:space="preserve"> </w:t>
      </w:r>
      <w:r>
        <w:t xml:space="preserve">und</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39.5000, ihre quadrierten Abweichungssummen 41.0000 und 41.0000.</w:t>
      </w:r>
    </w:p>
    <w:p>
      <w:pPr>
        <w:pStyle w:val="BodyText"/>
      </w:pPr>
      <w:r>
        <w:t xml:space="preserve">Somit ist</w:t>
      </w:r>
      <w:r>
        <w:t xml:space="preserve"> </w:t>
      </w:r>
      <m:oMath>
        <m:sSub>
          <m:e>
            <m:r>
              <m:t>r</m:t>
            </m:r>
          </m:e>
          <m:sub>
            <m:r>
              <m:t>s</m:t>
            </m:r>
          </m:sub>
        </m:sSub>
        <m:r>
          <m:rPr>
            <m:sty m:val="p"/>
          </m:rPr>
          <m:t>=</m:t>
        </m:r>
        <m:r>
          <m:t>39.5000</m:t>
        </m:r>
        <m:r>
          <m:rPr>
            <m:sty m:val="p"/>
          </m:rPr>
          <m:t>/</m:t>
        </m:r>
        <m:rad>
          <m:radPr>
            <m:degHide m:val="on"/>
          </m:radPr>
          <m:deg/>
          <m:e>
            <m:r>
              <m:t>41.0000</m:t>
            </m:r>
            <m:d>
              <m:dPr>
                <m:begChr m:val="("/>
                <m:sepChr m:val=""/>
                <m:endChr m:val=")"/>
                <m:grow/>
              </m:dPr>
              <m:e>
                <m:r>
                  <m:t>41.0000</m:t>
                </m:r>
              </m:e>
            </m:d>
          </m:e>
        </m:rad>
        <m:r>
          <m:rPr>
            <m:sty m:val="p"/>
          </m:rPr>
          <m:t>=</m:t>
        </m:r>
        <m:r>
          <m:t>0.9634</m:t>
        </m:r>
      </m:oMath>
      <w:r>
        <w:t xml:space="preserve">.</w:t>
      </w:r>
    </w:p>
    <w:p>
      <w:pPr>
        <w:pStyle w:val="BodyText"/>
      </w:pPr>
      <w:r>
        <w:t xml:space="preserve">Die Transformation</w:t>
      </w:r>
      <w:r>
        <w:t xml:space="preserve"> </w:t>
      </w:r>
      <m:oMath>
        <m:sSup>
          <m:e>
            <m:r>
              <m:t>Y</m:t>
            </m:r>
          </m:e>
          <m:sup>
            <m:r>
              <m:rPr>
                <m:sty m:val="p"/>
              </m:rPr>
              <m:t>*</m:t>
            </m:r>
          </m:sup>
        </m:sSup>
        <m:r>
          <m:rPr>
            <m:sty m:val="p"/>
          </m:rPr>
          <m:t>=</m:t>
        </m:r>
        <m:r>
          <m:t>9</m:t>
        </m:r>
        <m:r>
          <m:rPr>
            <m:sty m:val="p"/>
          </m:rPr>
          <m:t>+</m:t>
        </m:r>
        <m:r>
          <m:t>2</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1</m:t>
            </m:r>
            <m:r>
              <m:rPr>
                <m:sty m:val="p"/>
              </m:rPr>
              <m:t>,</m:t>
            </m:r>
            <m:r>
              <m:t>2</m:t>
            </m:r>
            <m:r>
              <m:rPr>
                <m:sty m:val="p"/>
              </m:rPr>
              <m:t>,</m:t>
            </m:r>
            <m:r>
              <m:t>3.5</m:t>
            </m:r>
            <m:r>
              <m:rPr>
                <m:sty m:val="p"/>
              </m:rPr>
              <m:t>,</m:t>
            </m:r>
            <m:r>
              <m:t>3.5</m:t>
            </m:r>
            <m:r>
              <m:rPr>
                <m:sty m:val="p"/>
              </m:rPr>
              <m:t>,</m:t>
            </m:r>
            <m:r>
              <m:t>5</m:t>
            </m:r>
            <m:r>
              <m:rPr>
                <m:sty m:val="p"/>
              </m:rPr>
              <m:t>,</m:t>
            </m:r>
            <m:r>
              <m:t>6.5</m:t>
            </m:r>
            <m:r>
              <m:rPr>
                <m:sty m:val="p"/>
              </m:rPr>
              <m:t>,</m:t>
            </m:r>
            <m:r>
              <m:t>6.5</m:t>
            </m:r>
            <m:r>
              <m:rPr>
                <m:sty m:val="p"/>
              </m:rPr>
              <m:t>,</m:t>
            </m:r>
            <m:r>
              <m:t>8</m:t>
            </m:r>
          </m:e>
        </m:d>
      </m:oMath>
      <w:r>
        <w:t xml:space="preserve"> </w:t>
      </w:r>
      <w:r>
        <w:t xml:space="preserve">und</w:t>
      </w:r>
      <w:r>
        <w:t xml:space="preserve"> </w:t>
      </w:r>
      <m:oMath>
        <m:sSubSup>
          <m:e>
            <m:r>
              <m:t>r</m:t>
            </m:r>
          </m:e>
          <m:sub>
            <m:r>
              <m:t>s</m:t>
            </m:r>
          </m:sub>
          <m:sup>
            <m:r>
              <m:rPr>
                <m:sty m:val="p"/>
              </m:rPr>
              <m:t>*</m:t>
            </m:r>
          </m:sup>
        </m:sSubSup>
        <m:r>
          <m:rPr>
            <m:sty m:val="p"/>
          </m:rPr>
          <m:t>=</m:t>
        </m:r>
        <m:r>
          <m:t>0.9634</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5"/>
    <w:bookmarkStart w:id="96" w:name="t04-a06-v10-navigationsübung-und-fehler"/>
    <w:p>
      <w:pPr>
        <w:pStyle w:val="Heading3"/>
      </w:pPr>
      <w:r>
        <w:rPr>
          <w:rStyle w:val="VerbatimChar"/>
        </w:rPr>
        <w:t xml:space="preserve">T04-A06-V10</w:t>
      </w:r>
      <w:r>
        <w:t xml:space="preserve">: Navigationsübung und Fehler</w:t>
      </w:r>
    </w:p>
    <w:p>
      <w:pPr>
        <w:pStyle w:val="FirstParagraph"/>
      </w:pPr>
      <w:r>
        <w:rPr>
          <w:b/>
          <w:bCs/>
        </w:rPr>
        <w:t xml:space="preserve">Vor dem Rechnen begründen</w:t>
      </w:r>
    </w:p>
    <w:p>
      <w:pPr>
        <w:pStyle w:val="BodyText"/>
      </w:pPr>
      <w:r>
        <w:t xml:space="preserve">Mittlere Ränge ergeben</w:t>
      </w:r>
      <w:r>
        <w:t xml:space="preserve"> </w:t>
      </w:r>
      <m:oMath>
        <m:sSub>
          <m:e>
            <m:r>
              <m:t>R</m:t>
            </m:r>
          </m:e>
          <m:sub>
            <m:r>
              <m:t>X</m:t>
            </m:r>
          </m:sub>
        </m:sSub>
        <m:r>
          <m:rPr>
            <m:sty m:val="p"/>
          </m:rPr>
          <m:t>=</m:t>
        </m:r>
        <m:d>
          <m:dPr>
            <m:begChr m:val="("/>
            <m:sepChr m:val=""/>
            <m:endChr m:val=")"/>
            <m:grow/>
          </m:dPr>
          <m:e>
            <m:r>
              <m:t>1</m:t>
            </m:r>
            <m:r>
              <m:rPr>
                <m:sty m:val="p"/>
              </m:rPr>
              <m:t>,</m:t>
            </m:r>
            <m:r>
              <m:t>2.5</m:t>
            </m:r>
            <m:r>
              <m:rPr>
                <m:sty m:val="p"/>
              </m:rPr>
              <m:t>,</m:t>
            </m:r>
            <m:r>
              <m:t>2.5</m:t>
            </m:r>
            <m:r>
              <m:rPr>
                <m:sty m:val="p"/>
              </m:rPr>
              <m:t>,</m:t>
            </m:r>
            <m:r>
              <m:t>4.5</m:t>
            </m:r>
            <m:r>
              <m:rPr>
                <m:sty m:val="p"/>
              </m:rPr>
              <m:t>,</m:t>
            </m:r>
            <m:r>
              <m:t>4.5</m:t>
            </m:r>
            <m:r>
              <m:rPr>
                <m:sty m:val="p"/>
              </m:rPr>
              <m:t>,</m:t>
            </m:r>
            <m:r>
              <m:t>6</m:t>
            </m:r>
            <m:r>
              <m:rPr>
                <m:sty m:val="p"/>
              </m:rPr>
              <m:t>,</m:t>
            </m:r>
            <m:r>
              <m:t>7.5</m:t>
            </m:r>
            <m:r>
              <m:rPr>
                <m:sty m:val="p"/>
              </m:rPr>
              <m:t>,</m:t>
            </m:r>
            <m:r>
              <m:t>7.5</m:t>
            </m:r>
          </m:e>
        </m:d>
      </m:oMath>
      <w:r>
        <w:t xml:space="preserve"> </w:t>
      </w:r>
      <w:r>
        <w:t xml:space="preserve">und</w:t>
      </w:r>
      <w:r>
        <w:t xml:space="preserve"> </w:t>
      </w:r>
      <m:oMath>
        <m:sSub>
          <m:e>
            <m:r>
              <m:t>R</m:t>
            </m:r>
          </m:e>
          <m:sub>
            <m:r>
              <m:t>Y</m:t>
            </m:r>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w:t>
      </w:r>
    </w:p>
    <w:p>
      <w:pPr>
        <w:pStyle w:val="BodyText"/>
      </w:pPr>
      <w:r>
        <w:t xml:space="preserve">Beide Rangspalten haben den Mittelwert 4.5.</w:t>
      </w:r>
    </w:p>
    <w:p>
      <w:pPr>
        <w:pStyle w:val="BodyText"/>
      </w:pPr>
      <w:r>
        <w:rPr>
          <w:b/>
          <w:bCs/>
        </w:rPr>
        <w:t xml:space="preserve">Berechnung durchführen</w:t>
      </w:r>
    </w:p>
    <w:p>
      <w:pPr>
        <w:pStyle w:val="BodyText"/>
      </w:pPr>
      <w:r>
        <w:t xml:space="preserve">Ihre Kreuzproduktsumme beträgt -39.7500, ihre quadrierten Abweichungssummen 40.5000 und 41.0000.</w:t>
      </w:r>
    </w:p>
    <w:p>
      <w:pPr>
        <w:pStyle w:val="BodyText"/>
      </w:pPr>
      <w:r>
        <w:t xml:space="preserve">Somit ist</w:t>
      </w:r>
      <w:r>
        <w:t xml:space="preserve"> </w:t>
      </w:r>
      <m:oMath>
        <m:sSub>
          <m:e>
            <m:r>
              <m:t>r</m:t>
            </m:r>
          </m:e>
          <m:sub>
            <m:r>
              <m:t>s</m:t>
            </m:r>
          </m:sub>
        </m:sSub>
        <m:r>
          <m:rPr>
            <m:sty m:val="p"/>
          </m:rPr>
          <m:t>=</m:t>
        </m:r>
        <m:r>
          <m:rPr>
            <m:sty m:val="p"/>
          </m:rPr>
          <m:t>−</m:t>
        </m:r>
        <m:r>
          <m:t>39.7500</m:t>
        </m:r>
        <m:r>
          <m:rPr>
            <m:sty m:val="p"/>
          </m:rPr>
          <m:t>/</m:t>
        </m:r>
        <m:rad>
          <m:radPr>
            <m:degHide m:val="on"/>
          </m:radPr>
          <m:deg/>
          <m:e>
            <m:r>
              <m:t>40.5000</m:t>
            </m:r>
            <m:d>
              <m:dPr>
                <m:begChr m:val="("/>
                <m:sepChr m:val=""/>
                <m:endChr m:val=")"/>
                <m:grow/>
              </m:dPr>
              <m:e>
                <m:r>
                  <m:t>41.0000</m:t>
                </m:r>
              </m:e>
            </m:d>
          </m:e>
        </m:rad>
        <m:r>
          <m:rPr>
            <m:sty m:val="p"/>
          </m:rPr>
          <m:t>=</m:t>
        </m:r>
        <m:r>
          <m:rPr>
            <m:sty m:val="p"/>
          </m:rPr>
          <m:t>−</m:t>
        </m:r>
        <m:r>
          <m:t>0.9755</m:t>
        </m:r>
      </m:oMath>
      <w:r>
        <w:t xml:space="preserve">.</w:t>
      </w:r>
    </w:p>
    <w:p>
      <w:pPr>
        <w:pStyle w:val="BodyText"/>
      </w:pPr>
      <w:r>
        <w:t xml:space="preserve">Die Transformation</w:t>
      </w:r>
      <w:r>
        <w:t xml:space="preserve"> </w:t>
      </w:r>
      <m:oMath>
        <m:sSup>
          <m:e>
            <m:r>
              <m:t>Y</m:t>
            </m:r>
          </m:e>
          <m:sup>
            <m:r>
              <m:rPr>
                <m:sty m:val="p"/>
              </m:rPr>
              <m:t>*</m:t>
            </m:r>
          </m:sup>
        </m:sSup>
        <m:r>
          <m:rPr>
            <m:sty m:val="p"/>
          </m:rPr>
          <m:t>=</m:t>
        </m:r>
        <m:r>
          <m:t>20</m:t>
        </m:r>
        <m:r>
          <m:rPr>
            <m:sty m:val="p"/>
          </m:rPr>
          <m:t>+</m:t>
        </m:r>
        <m:r>
          <m:t>3</m:t>
        </m:r>
        <m:r>
          <m:t>Y</m:t>
        </m:r>
      </m:oMath>
      <w:r>
        <w:t xml:space="preserve"> </w:t>
      </w:r>
      <w:r>
        <w:t xml:space="preserve">hat einen positiven Multiplikator und erhält deshalb jede Reihenfolge und jede Bindung.</w:t>
      </w:r>
    </w:p>
    <w:p>
      <w:pPr>
        <w:pStyle w:val="BodyText"/>
      </w:pPr>
      <w:r>
        <w:rPr>
          <w:b/>
          <w:bCs/>
        </w:rPr>
        <w:t xml:space="preserve">Ergebnis interpretieren und prüfen</w:t>
      </w:r>
    </w:p>
    <w:p>
      <w:pPr>
        <w:pStyle w:val="BodyText"/>
      </w:pPr>
      <w:r>
        <w:t xml:space="preserve">Somit gelten</w:t>
      </w:r>
      <w:r>
        <w:t xml:space="preserve"> </w:t>
      </w:r>
      <m:oMath>
        <m:sSub>
          <m:e>
            <m:r>
              <m:t>R</m:t>
            </m:r>
          </m:e>
          <m:sub>
            <m:sSup>
              <m:e>
                <m:r>
                  <m:t>Y</m:t>
                </m:r>
              </m:e>
              <m:sup>
                <m:r>
                  <m:rPr>
                    <m:sty m:val="p"/>
                  </m:rPr>
                  <m:t>*</m:t>
                </m:r>
              </m:sup>
            </m:sSup>
          </m:sub>
        </m:sSub>
        <m:r>
          <m:rPr>
            <m:sty m:val="p"/>
          </m:rPr>
          <m:t>=</m:t>
        </m:r>
        <m:d>
          <m:dPr>
            <m:begChr m:val="("/>
            <m:sepChr m:val=""/>
            <m:endChr m:val=")"/>
            <m:grow/>
          </m:dPr>
          <m:e>
            <m:r>
              <m:t>8</m:t>
            </m:r>
            <m:r>
              <m:rPr>
                <m:sty m:val="p"/>
              </m:rPr>
              <m:t>,</m:t>
            </m:r>
            <m:r>
              <m:t>6.5</m:t>
            </m:r>
            <m:r>
              <m:rPr>
                <m:sty m:val="p"/>
              </m:rPr>
              <m:t>,</m:t>
            </m:r>
            <m:r>
              <m:t>6.5</m:t>
            </m:r>
            <m:r>
              <m:rPr>
                <m:sty m:val="p"/>
              </m:rPr>
              <m:t>,</m:t>
            </m:r>
            <m:r>
              <m:t>5</m:t>
            </m:r>
            <m:r>
              <m:rPr>
                <m:sty m:val="p"/>
              </m:rPr>
              <m:t>,</m:t>
            </m:r>
            <m:r>
              <m:t>3.5</m:t>
            </m:r>
            <m:r>
              <m:rPr>
                <m:sty m:val="p"/>
              </m:rPr>
              <m:t>,</m:t>
            </m:r>
            <m:r>
              <m:t>3.5</m:t>
            </m:r>
            <m:r>
              <m:rPr>
                <m:sty m:val="p"/>
              </m:rPr>
              <m:t>,</m:t>
            </m:r>
            <m:r>
              <m:t>2</m:t>
            </m:r>
            <m:r>
              <m:rPr>
                <m:sty m:val="p"/>
              </m:rPr>
              <m:t>,</m:t>
            </m:r>
            <m:r>
              <m:t>1</m:t>
            </m:r>
          </m:e>
        </m:d>
      </m:oMath>
      <w:r>
        <w:t xml:space="preserve"> </w:t>
      </w:r>
      <w:r>
        <w:t xml:space="preserve">und</w:t>
      </w:r>
      <w:r>
        <w:t xml:space="preserve"> </w:t>
      </w:r>
      <m:oMath>
        <m:sSubSup>
          <m:e>
            <m:r>
              <m:t>r</m:t>
            </m:r>
          </m:e>
          <m:sub>
            <m:r>
              <m:t>s</m:t>
            </m:r>
          </m:sub>
          <m:sup>
            <m:r>
              <m:rPr>
                <m:sty m:val="p"/>
              </m:rPr>
              <m:t>*</m:t>
            </m:r>
          </m:sup>
        </m:sSubSup>
        <m:r>
          <m:rPr>
            <m:sty m:val="p"/>
          </m:rPr>
          <m:t>=</m:t>
        </m:r>
        <m:r>
          <m:rPr>
            <m:sty m:val="p"/>
          </m:rPr>
          <m:t>−</m:t>
        </m:r>
        <m:r>
          <m:t>0.9755</m:t>
        </m:r>
      </m:oMath>
      <w:r>
        <w:t xml:space="preserve">, also genau derselbe Koeffizient.</w:t>
      </w:r>
    </w:p>
    <w:p>
      <w:pPr>
        <w:pStyle w:val="BodyText"/>
      </w:pPr>
      <w:r>
        <w:t xml:space="preserve">Addition einer Konstante verändert die Lage, Multiplikation mit einer positiven Konstante die Skala; beides verändert die Ränge nicht.</w:t>
      </w:r>
    </w:p>
    <w:p>
      <w:pPr>
        <w:pStyle w:val="BodyText"/>
      </w:pPr>
      <w:r>
        <w:t xml:space="preserve">Ein negativer Multiplikator würde die Ordnung und damit das Vorzeichen von Spearmans Koeffizient umkehren.</w:t>
      </w:r>
    </w:p>
    <w:bookmarkEnd w:id="96"/>
    <w:bookmarkEnd w:id="97"/>
    <w:bookmarkEnd w:id="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Kovarianz und Korrelation</vt:lpwstr>
  </property>
  <property fmtid="{D5CDD505-2E9C-101B-9397-08002B2CF9AE}" pid="11" name="toc-title">
    <vt:lpwstr>Inhaltsverzeichnis</vt:lpwstr>
  </property>
</Properties>
</file>