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3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Kovarianz und Korrelation</w:t>
      </w:r>
    </w:p>
    <w:p>
      <w:pPr>
        <w:pStyle w:val="Subtitle"/>
      </w:pPr>
      <w:r>
        <w:t xml:space="preserve">Verstehen, wie zwei Variablen gemeinsam variieren</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de/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Einführung in die Statistik | Thema 4</w:t>
      </w:r>
    </w:p>
    <w:bookmarkStart w:id="27" w:name="zusammenfassung-der-kursseite"/>
    <w:p>
      <w:pPr>
        <w:pStyle w:val="Heading1"/>
      </w:pPr>
      <w:r>
        <w:t xml:space="preserve">Zusammenfassung der Kursseite</w:t>
      </w:r>
    </w:p>
    <w:p>
      <w:pPr>
        <w:pStyle w:val="FirstParagraph"/>
      </w:pPr>
      <w:r>
        <w:t xml:space="preserve">Kovarianz und Korrelation beschreiben, wie zwei quantitative Variablen über korrekt gepaarte Fälle gemeinsam variieren. Betrachte immer zuerst das Streudiagramm. Ein Koeffizient fasst dieses Diagramm zusammen, ersetzt es aber nicht.</w:t>
      </w:r>
    </w:p>
    <w:bookmarkStart w:id="23" w:name="Xca70e043c2aba76231536543bf3734999395816"/>
    <w:p>
      <w:pPr>
        <w:pStyle w:val="Heading2"/>
      </w:pPr>
      <w:r>
        <w:t xml:space="preserve">Von gepaarten Abweichungen zur Korrelation</w:t>
      </w:r>
    </w:p>
    <w:p>
      <w:pPr>
        <w:pStyle w:val="FirstParagraph"/>
      </w:pPr>
      <w:r>
        <w:t xml:space="preserve">Für gepaarte Beobachtungen</w:t>
      </w:r>
      <w:r>
        <w:t xml:space="preserve"> </w:t>
      </w:r>
      <ns5:oMath>
        <ns5:d>
          <ns5:dPr>
            <ns5:begChr ns5:val="("/>
            <ns5:sepChr ns5:val=""/>
            <ns5:endChr ns5:val=")"/>
            <ns5:grow/>
          </ns5:dPr>
          <ns5:e>
            <ns5:sSub>
              <ns5:e>
                <ns5:r>
                  <ns5:t>x</ns5:t>
                </ns5:r>
              </ns5:e>
              <ns5:sub>
                <ns5:r>
                  <ns5:t>i</ns5:t>
                </ns5:r>
              </ns5:sub>
            </ns5:sSub>
            <ns5:r>
              <ns5:rPr>
                <ns5:sty ns5:val="p"/>
              </ns5:rPr>
              <ns5:t>,</ns5:t>
            </ns5:r>
            <ns5:sSub>
              <ns5:e>
                <ns5:r>
                  <ns5:t>y</ns5:t>
                </ns5:r>
              </ns5:e>
              <ns5:sub>
                <ns5:r>
                  <ns5:t>i</ns5:t>
                </ns5:r>
              </ns5:sub>
            </ns5:sSub>
          </ns5:e>
        </ns5:d>
      </ns5:oMath>
      <w:r>
        <w:t xml:space="preserve"> </w:t>
      </w:r>
      <w:r>
        <w:t xml:space="preserve">lautet die Stichprobenkovarianz</w:t>
      </w:r>
    </w:p>
    <w:p>
      <w:pPr>
        <w:pStyle w:val="BodyText"/>
      </w:pPr>
      <ns5:oMathPara>
        <ns5:oMathParaPr>
          <ns5:jc ns5:val="center"/>
        </ns5:oMathParaPr>
        <ns5:oMath>
          <ns5:sSub>
            <ns5:e>
              <ns5:r>
                <ns5:t>s</ns5:t>
              </ns5:r>
            </ns5:e>
            <ns5:sub>
              <ns5:r>
                <ns5:t>X</ns5:t>
              </ns5:r>
              <ns5:r>
                <ns5:t>Y</ns5:t>
              </ns5:r>
            </ns5:sub>
          </ns5:sSub>
          <ns5:r>
            <ns5:rPr>
              <ns5:sty ns5:val="p"/>
            </ns5:rPr>
            <ns5:t>=</ns5:t>
          </ns5:r>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nary>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num>
            <ns5:den>
              <ns5:r>
                <ns5:t>n</ns5:t>
              </ns5:r>
              <ns5:r>
                <ns5:rPr>
                  <ns5:sty ns5:val="p"/>
                </ns5:rPr>
                <ns5:t>−</ns5:t>
              </ns5:r>
              <ns5:r>
                <ns5:t>1</ns5:t>
              </ns5:r>
            </ns5:den>
          </ns5:f>
          <ns5:r>
            <ns5:rPr>
              <ns5:sty ns5:val="p"/>
            </ns5:rPr>
            <ns5:t>.</ns5:t>
          </ns5:r>
        </ns5:oMath>
      </ns5:oMathPara>
    </w:p>
    <w:p>
      <w:pPr>
        <w:pStyle w:val="FirstParagraph"/>
      </w:pPr>
      <w:r>
        <w:t xml:space="preserve">Produkte sind positiv, wenn beide Abweichungen in dieselbe Richtung zeigen, und negativ, wenn sie in entgegengesetzte Richtungen zeigen. Das Vorzeichen beschreibt deshalb die Richtung. Die Grösse hängt von den Messeinheiten ab, wodurch Kovarianzen über Skalen hinweg schwer vergleichbar sind.</w:t>
      </w:r>
    </w:p>
    <w:p>
      <w:pPr>
        <w:pStyle w:val="BodyText"/>
      </w:pPr>
      <w:r>
        <w:t xml:space="preserve">Die Pearson-Korrelation standardisiert die Kovarianz:</w:t>
      </w:r>
    </w:p>
    <w:p>
      <w:pPr>
        <w:pStyle w:val="BodyText"/>
      </w:pPr>
      <ns5:oMathPara>
        <ns5:oMathParaPr>
          <ns5:jc ns5:val="center"/>
        </ns5:oMathParaPr>
        <ns5:oMath>
          <ns5:r>
            <ns5:t>r</ns5:t>
          </ns5:r>
          <ns5:r>
            <ns5:rPr>
              <ns5:sty ns5:val="p"/>
            </ns5:rPr>
            <ns5:t>=</ns5:t>
          </ns5:r>
          <ns5:f>
            <ns5:fPr>
              <ns5:type ns5:val="bar"/>
            </ns5:fPr>
            <ns5:num>
              <ns5:sSub>
                <ns5:e>
                  <ns5:r>
                    <ns5:t>s</ns5:t>
                  </ns5:r>
                </ns5:e>
                <ns5:sub>
                  <ns5:r>
                    <ns5:t>X</ns5:t>
                  </ns5:r>
                  <ns5:r>
                    <ns5:t>Y</ns5:t>
                  </ns5:r>
                </ns5:sub>
              </ns5:sSub>
            </ns5:num>
            <ns5:den>
              <ns5:sSub>
                <ns5:e>
                  <ns5:r>
                    <ns5:t>s</ns5:t>
                  </ns5:r>
                </ns5:e>
                <ns5:sub>
                  <ns5:r>
                    <ns5:t>X</ns5:t>
                  </ns5:r>
                </ns5:sub>
              </ns5:sSub>
              <ns5:sSub>
                <ns5:e>
                  <ns5:r>
                    <ns5:t>s</ns5:t>
                  </ns5:r>
                </ns5:e>
                <ns5:sub>
                  <ns5:r>
                    <ns5:t>Y</ns5:t>
                  </ns5:r>
                </ns5:sub>
              </ns5:sSub>
            </ns5:den>
          </ns5:f>
          <ns5:r>
            <ns5:rPr>
              <ns5:sty ns5:val="p"/>
            </ns5:rPr>
            <ns5:t>.</ns5:t>
          </ns5:r>
        </ns5:oMath>
      </ns5:oMathPara>
    </w:p>
    <w:p>
      <w:pPr>
        <w:pStyle w:val="FirstParagraph"/>
      </w:pPr>
      <w:r>
        <w:t xml:space="preserve">Sie liegt zwischen</w:t>
      </w:r>
      <w:r>
        <w:t xml:space="preserve"> </w:t>
      </w:r>
      <ns5:oMath>
        <ns5:r>
          <ns5:rPr>
            <ns5:sty ns5:val="p"/>
          </ns5:rPr>
          <ns5:t>−</ns5:t>
        </ns5:r>
        <ns5:r>
          <ns5:t>1</ns5:t>
        </ns5:r>
      </ns5:oMath>
      <w:r>
        <w:t xml:space="preserve"> </w:t>
      </w:r>
      <w:r>
        <w:t xml:space="preserve">und</w:t>
      </w:r>
      <w:r>
        <w:t xml:space="preserve"> </w:t>
      </w:r>
      <ns5:oMath>
        <ns5:r>
          <ns5:rPr>
            <ns5:sty ns5:val="p"/>
          </ns5:rPr>
          <ns5:t>+</ns5:t>
        </ns5:r>
        <ns5:r>
          <ns5:t>1</ns5:t>
        </ns5:r>
      </ns5:oMath>
      <w:r>
        <w:t xml:space="preserve">. Das Vorzeichen gibt die Richtung des linearen Musters an.</w:t>
      </w:r>
      <w:r>
        <w:t xml:space="preserve"> </w:t>
      </w:r>
      <ns5:oMath>
        <ns5:d>
          <ns5:dPr>
            <ns5:begChr ns5:val="|"/>
            <ns5:sepChr ns5:val=""/>
            <ns5:endChr ns5:val="|"/>
            <ns5:grow/>
          </ns5:dPr>
          <ns5:e>
            <ns5:r>
              <ns5:t>r</ns5:t>
            </ns5:r>
          </ns5:e>
        </ns5:d>
      </ns5:oMath>
      <w:r>
        <w:t xml:space="preserve"> </w:t>
      </w:r>
      <w:r>
        <w:t xml:space="preserve">beschreibt, wie eng die Punkte einer Geraden folgen. Ein Wert nahe null bedeutet wenig linearen Zusammenhang. Ein stark gekrümmtes Muster kann trotzdem eine kleine Pearson-Korrelation haben.</w:t>
      </w:r>
    </w:p>
    <w:bookmarkEnd w:id="23"/>
    <w:bookmarkStart w:id="25" w:name="X01d570be674155700dc08814678ba717d529403"/>
    <w:p>
      <w:pPr>
        <w:pStyle w:val="Heading2"/>
      </w:pPr>
      <w:r>
        <w:t xml:space="preserve">Was du vor der Interpretation von</w:t>
      </w:r>
      <w:r>
        <w:t xml:space="preserve"> </w:t>
      </w:r>
      <ns5:oMath>
        <ns5:r>
          <ns5:t>r</ns5:t>
        </ns5:r>
      </ns5:oMath>
      <w:r>
        <w:t xml:space="preserve"> </w:t>
      </w:r>
      <w:r>
        <w:t xml:space="preserve">prüfst</w:t>
      </w:r>
    </w:p>
    <w:bookmarkStart w:id="24" w:name="tbl-summary-correlation-checks"/>
    <w:p>
      <w:pPr>
        <w:pStyle w:val="TableCaption"/>
        <w:keepNext/>
        <w:keepLines/>
        <w:widowControl/>
        <w:spacing w:before="120" w:after="80"/>
        <w:jc w:val="left"/>
      </w:pPr>
      <w:r>
        <w:t xml:space="preserve">Tabelle 1: Lies Datenmuster und Studiendesign, bevor du den Koeffizienten liest.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4000"/>
        <w:gridCol w:w="5524"/>
      </w:tblGrid>
      <w:tr>
        <w:trPr>
          <w:cantSplit/>
          <w:tblHeader w:val="on"/>
        </w:trPr>
        <w:tc>
          <w:tcPr>
            <w:tcW w:w="4000" w:type="dxa"/>
            <w:shd w:fill="EAF2F6"/>
            <w:vAlign w:val="center"/>
          </w:tcPr>
          <w:p>
            <w:pPr>
              <w:pStyle w:val="Compact"/>
              <w:keepLines/>
              <w:widowControl/>
              <w:spacing w:before="0" w:after="40" w:line="240" w:lineRule="auto"/>
              <w:jc w:val="left"/>
            </w:pPr>
            <w:r>
              <w:rPr>
                <w:b/>
                <w:color w:val="183B56"/>
                <w:sz w:val="20"/>
                <w:szCs w:val="20"/>
              </w:rPr>
              <w:t xml:space="preserve">Prüfung</w:t>
            </w:r>
          </w:p>
        </w:tc>
        <w:tc>
          <w:tcPr>
            <w:tcW w:w="5524" w:type="dxa"/>
            <w:shd w:fill="EAF2F6"/>
            <w:vAlign w:val="center"/>
          </w:tcPr>
          <w:p>
            <w:pPr>
              <w:pStyle w:val="Compact"/>
              <w:keepLines/>
              <w:widowControl/>
              <w:spacing w:before="0" w:after="40" w:line="240" w:lineRule="auto"/>
              <w:jc w:val="left"/>
            </w:pPr>
            <w:r>
              <w:rPr>
                <w:b/>
                <w:color w:val="183B56"/>
                <w:sz w:val="20"/>
                <w:szCs w:val="20"/>
              </w:rPr>
              <w:t xml:space="preserve">Weshalb sie wichtig ist</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Gepaarte Zeilen</w:t>
            </w:r>
          </w:p>
        </w:tc>
        <w:tc>
          <w:tcPr>
            <w:tcW w:w="5524" w:type="dxa"/>
            <w:shd w:fill="F3F7F9"/>
            <w:vAlign w:val="top"/>
          </w:tcPr>
          <w:p>
            <w:pPr>
              <w:pStyle w:val="Compact"/>
              <w:keepLines/>
              <w:widowControl/>
              <w:spacing w:before="0" w:after="40" w:line="240" w:lineRule="auto"/>
              <w:jc w:val="center"/>
            </w:pPr>
            <w:r>
              <w:rPr>
                <w:sz w:val="20"/>
                <w:szCs w:val="20"/>
              </w:rPr>
              <w:t xml:space="preserve">Jeder</w:t>
            </w:r>
            <w:r>
              <w:rPr>
                <w:sz w:val="20"/>
                <w:szCs w:val="20"/>
              </w:rPr>
              <w:t xml:space="preserve"> </w:t>
            </w:r>
            <ns5:oMath>
              <ns5:sSub>
                <ns5:e>
                  <ns5:r>
                    <ns5:t>x</ns5:t>
                  </ns5:r>
                </ns5:e>
                <ns5:sub>
                  <ns5:r>
                    <ns5:t>i</ns5:t>
                  </ns5:r>
                </ns5:sub>
              </ns5:sSub>
            </ns5:oMath>
            <w:r>
              <w:rPr>
                <w:sz w:val="20"/>
                <w:szCs w:val="20"/>
              </w:rPr>
              <w:t xml:space="preserve">-Wert muss mit seinem eigenen</w:t>
            </w:r>
            <w:r>
              <w:rPr>
                <w:sz w:val="20"/>
                <w:szCs w:val="20"/>
              </w:rPr>
              <w:t xml:space="preserve"> </w:t>
            </w:r>
            <ns5:oMath>
              <ns5:sSub>
                <ns5:e>
                  <ns5:r>
                    <ns5:t>y</ns5:t>
                  </ns5:r>
                </ns5:e>
                <ns5:sub>
                  <ns5:r>
                    <ns5:t>i</ns5:t>
                  </ns5:r>
                </ns5:sub>
              </ns5:sSub>
            </ns5:oMath>
            <w:r>
              <w:rPr>
                <w:sz w:val="20"/>
                <w:szCs w:val="20"/>
              </w:rPr>
              <w:t xml:space="preserve">-Wert verbunden bleiben</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Form im Streudiagramm</w:t>
            </w:r>
          </w:p>
        </w:tc>
        <w:tc>
          <w:tcPr>
            <w:tcW w:w="5524" w:type="dxa"/>
            <w:shd w:fill="FFFFFF"/>
            <w:vAlign w:val="top"/>
          </w:tcPr>
          <w:p>
            <w:pPr>
              <w:pStyle w:val="Compact"/>
              <w:keepLines/>
              <w:widowControl/>
              <w:spacing w:before="0" w:after="40" w:line="240" w:lineRule="auto"/>
              <w:jc w:val="center"/>
            </w:pPr>
            <w:r>
              <w:rPr>
                <w:sz w:val="20"/>
                <w:szCs w:val="20"/>
              </w:rPr>
              <w:t xml:space="preserve">Pearson-</w:t>
            </w:r>
            <ns5:oMath>
              <ns5:r>
                <ns5:t>r</ns5:t>
              </ns5:r>
            </ns5:oMath>
            <w:r>
              <w:rPr>
                <w:sz w:val="20"/>
                <w:szCs w:val="20"/>
              </w:rPr>
              <w:t xml:space="preserve"> </w:t>
            </w:r>
            <w:r>
              <w:rPr>
                <w:sz w:val="20"/>
                <w:szCs w:val="20"/>
              </w:rPr>
              <w:t xml:space="preserve">fasst linearen Zusammenhang zusammen, nicht jede Abhängigkeitsform</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Ungewöhnliche und einflussreiche Punkte</w:t>
            </w:r>
          </w:p>
        </w:tc>
        <w:tc>
          <w:tcPr>
            <w:tcW w:w="5524" w:type="dxa"/>
            <w:shd w:fill="F3F7F9"/>
            <w:vAlign w:val="top"/>
          </w:tcPr>
          <w:p>
            <w:pPr>
              <w:pStyle w:val="Compact"/>
              <w:keepLines/>
              <w:widowControl/>
              <w:spacing w:before="0" w:after="40" w:line="240" w:lineRule="auto"/>
              <w:jc w:val="center"/>
            </w:pPr>
            <w:r>
              <w:rPr>
                <w:sz w:val="20"/>
                <w:szCs w:val="20"/>
              </w:rPr>
              <w:t xml:space="preserve">Ein einzelner Punkt kann den Koeffizienten stark verändern</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Beobachteter Wertebereich</w:t>
            </w:r>
          </w:p>
        </w:tc>
        <w:tc>
          <w:tcPr>
            <w:tcW w:w="5524" w:type="dxa"/>
            <w:shd w:fill="FFFFFF"/>
            <w:vAlign w:val="top"/>
          </w:tcPr>
          <w:p>
            <w:pPr>
              <w:pStyle w:val="Compact"/>
              <w:keepLines/>
              <w:widowControl/>
              <w:spacing w:before="0" w:after="40" w:line="240" w:lineRule="auto"/>
              <w:jc w:val="center"/>
            </w:pPr>
            <w:r>
              <w:rPr>
                <w:sz w:val="20"/>
                <w:szCs w:val="20"/>
              </w:rPr>
              <w:t xml:space="preserve">Eine Einschränkung des Bereichs kann den beobachteten Koeffizienten abschwächen</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Untergruppen</w:t>
            </w:r>
          </w:p>
        </w:tc>
        <w:tc>
          <w:tcPr>
            <w:tcW w:w="5524" w:type="dxa"/>
            <w:shd w:fill="F3F7F9"/>
            <w:vAlign w:val="top"/>
          </w:tcPr>
          <w:p>
            <w:pPr>
              <w:pStyle w:val="Compact"/>
              <w:keepLines/>
              <w:widowControl/>
              <w:spacing w:before="0" w:after="40" w:line="240" w:lineRule="auto"/>
              <w:jc w:val="center"/>
            </w:pPr>
            <w:r>
              <w:rPr>
                <w:sz w:val="20"/>
                <w:szCs w:val="20"/>
              </w:rPr>
              <w:t xml:space="preserve">Ein Gesamtmuster kann unterschiedliche Muster innerhalb von Gruppen verdecken</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Messung und Stichprobe</w:t>
            </w:r>
          </w:p>
        </w:tc>
        <w:tc>
          <w:tcPr>
            <w:tcW w:w="5524" w:type="dxa"/>
            <w:shd w:fill="FFFFFF"/>
            <w:vAlign w:val="top"/>
          </w:tcPr>
          <w:p>
            <w:pPr>
              <w:pStyle w:val="Compact"/>
              <w:keepLines/>
              <w:widowControl/>
              <w:spacing w:before="0" w:after="40" w:line="240" w:lineRule="auto"/>
              <w:jc w:val="center"/>
            </w:pPr>
            <w:r>
              <w:rPr>
                <w:sz w:val="20"/>
                <w:szCs w:val="20"/>
              </w:rPr>
              <w:t xml:space="preserve">Messfehler, Selektion und ungenügende Abdeckung können den Zusammenhang verzerren</w:t>
            </w:r>
          </w:p>
        </w:tc>
      </w:tr>
    </w:tbl>
    <w:bookmarkEnd w:id="24"/>
    <w:p/>
    <w:p>
      <w:pPr>
        <w:pStyle w:val="BodyText"/>
      </w:pPr>
      <w:r>
        <w:t xml:space="preserve">Die Spearman-Rangkorrelation wendet die Pearson-Idee auf Ränge an. Sie beschreibt ein monotones Muster, bei dem sich eine Variable tendenziell durchgehend nach oben oder unten bewegt, wenn sich die andere verändert. Eine Gerade ist nicht erforderlich. Gebundene Werte erhalten passende gemeinsame Ränge.</w:t>
      </w:r>
    </w:p>
    <w:p>
      <w:pPr>
        <w:pStyle w:val="BodyText"/>
      </w:pPr>
      <w:r>
        <w:t xml:space="preserve">Für die Inferenz über eine Populationskorrelation nach Pearson gilt unter dem hier verwendeten Modell</w:t>
      </w:r>
    </w:p>
    <w:p>
      <w:pPr>
        <w:pStyle w:val="BodyText"/>
      </w:pPr>
      <ns5:oMathPara>
        <ns5:oMathParaPr>
          <ns5:jc ns5:val="center"/>
        </ns5:oMathParaPr>
        <ns5:oMath>
          <ns5:r>
            <ns5:t>t</ns5:t>
          </ns5:r>
          <ns5:r>
            <ns5:rPr>
              <ns5:sty ns5:val="p"/>
            </ns5:rPr>
            <ns5:t>=</ns5:t>
          </ns5:r>
          <ns5:r>
            <ns5:t>r</ns5:t>
          </ns5:r>
          <ns5:rad>
            <ns5:radPr>
              <ns5:degHide ns5:val="on"/>
            </ns5:radPr>
            <ns5:deg/>
            <ns5:e>
              <ns5:f>
                <ns5:fPr>
                  <ns5:type ns5:val="bar"/>
                </ns5:fPr>
                <ns5:num>
                  <ns5:r>
                    <ns5:t>n</ns5:t>
                  </ns5:r>
                  <ns5:r>
                    <ns5:rPr>
                      <ns5:sty ns5:val="p"/>
                    </ns5:rPr>
                    <ns5:t>−</ns5:t>
                  </ns5:r>
                  <ns5:r>
                    <ns5:t>2</ns5:t>
                  </ns5:r>
                </ns5:num>
                <ns5:den>
                  <ns5:r>
                    <ns5:t>1</ns5:t>
                  </ns5:r>
                  <ns5:r>
                    <ns5:rPr>
                      <ns5:sty ns5:val="p"/>
                    </ns5:rPr>
                    <ns5:t>−</ns5:t>
                  </ns5:r>
                  <ns5:sSup>
                    <ns5:e>
                      <ns5:r>
                        <ns5:t>r</ns5:t>
                      </ns5:r>
                    </ns5:e>
                    <ns5:sup>
                      <ns5:r>
                        <ns5:t>2</ns5:t>
                      </ns5:r>
                    </ns5:sup>
                  </ns5:sSup>
                </ns5:den>
              </ns5:f>
            </ns5:e>
          </ns5:rad>
          <ns5:r>
            <ns5:rPr>
              <ns5:sty ns5:val="p"/>
            </ns5:rPr>
            <ns5:t>,</ns5:t>
          </ns5:r>
          <ns5:r>
            <ns5:t>  </ns5:t>
          </ns5:r>
          <ns5:r>
            <ns5:t>d</ns5:t>
          </ns5:r>
          <ns5:r>
            <ns5:t>f</ns5:t>
          </ns5:r>
          <ns5:r>
            <ns5:rPr>
              <ns5:sty ns5:val="p"/>
            </ns5:rPr>
            <ns5:t>=</ns5:t>
          </ns5:r>
          <ns5:r>
            <ns5:t>n</ns5:t>
          </ns5:r>
          <ns5:r>
            <ns5:rPr>
              <ns5:sty ns5:val="p"/>
            </ns5:rPr>
            <ns5:t>−</ns5:t>
          </ns5:r>
          <ns5:r>
            <ns5:t>2</ns5:t>
          </ns5:r>
          <ns5:r>
            <ns5:rPr>
              <ns5:sty ns5:val="p"/>
            </ns5:rPr>
            <ns5:t>.</ns5:t>
          </ns5:r>
        </ns5:oMath>
      </ns5:oMathPara>
    </w:p>
    <w:p>
      <w:pPr>
        <w:pStyle w:val="FirstParagraph"/>
      </w:pPr>
      <w:r>
        <w:t xml:space="preserve">Der Test fragt, ob die lineare Populationskorrelation unter den Modellannahmen null sein könnte. Er macht aus einem beobachtenden Zusammenhang keinen kausalen Effekt.</w:t>
      </w:r>
    </w:p>
    <w:bookmarkEnd w:id="25"/>
    <w:bookmarkStart w:id="26" w:name="die-brücke-zur-regression"/>
    <w:p>
      <w:pPr>
        <w:pStyle w:val="Heading2"/>
      </w:pPr>
      <w:r>
        <w:t xml:space="preserve">Die Brücke zur Regression</w:t>
      </w:r>
    </w:p>
    <w:p>
      <w:pPr>
        <w:pStyle w:val="FirstParagraph"/>
      </w:pPr>
      <w:r>
        <w:t xml:space="preserve">Korrelation ist symmetrisch und einheitenfrei. Die einfache Regression behält dasselbe gepaarte Muster bei, gibt den Variablen aber verschiedene Rollen: Eine wird Prädiktor, die andere Ergebnisvariable. Thema 5 macht aus der Punktwolke eine angepasste Gerade, stellt die ursprünglichen Einheiten wieder her und untersucht die Residuen, die zeigen, was die Gerade nicht erfasst.</w:t>
      </w:r>
    </w:p>
    <w:bookmarkEnd w:id="26"/>
    <w:bookmarkEnd w:id="27"/>
    <w:bookmarkStart w:id="38" w:name="erweiterte-referenz"/>
    <w:p>
      <w:pPr>
        <w:pStyle w:val="Heading1"/>
        <w:pageBreakBefore/>
      </w:pPr>
      <w:r>
        <w:t xml:space="preserve">Erweiterte Referenz</w:t>
      </w:r>
    </w:p>
    <w:bookmarkStart w:id="28" w:name="zweck-und-grundlagen"/>
    <w:p>
      <w:pPr>
        <w:pStyle w:val="Heading2"/>
      </w:pPr>
      <w:r>
        <w:t xml:space="preserve">Zweck und Grundlagen</w:t>
      </w:r>
    </w:p>
    <w:p>
      <w:pPr>
        <w:pStyle w:val="FirstParagraph"/>
      </w:pPr>
      <w:r>
        <w:t xml:space="preserve">Kovarianz und Korrelation beschreiben, wie zwei numerische Variablen bei denselben Fällen gemeinsam variieren. Jeder Fall muss ein zusammengehöriges Wertepaar</w:t>
      </w:r>
      <w:r>
        <w:t xml:space="preserve"> </w:t>
      </w:r>
      <ns5:oMath>
        <ns5:d>
          <ns5:dPr>
            <ns5:begChr ns5:val="("/>
            <ns5:sepChr ns5:val=""/>
            <ns5:endChr ns5:val=")"/>
            <ns5:grow/>
          </ns5:dPr>
          <ns5:e>
            <ns5:sSub>
              <ns5:e>
                <ns5:r>
                  <ns5:t>x</ns5:t>
                </ns5:r>
              </ns5:e>
              <ns5:sub>
                <ns5:r>
                  <ns5:t>i</ns5:t>
                </ns5:r>
              </ns5:sub>
            </ns5:sSub>
            <ns5:r>
              <ns5:rPr>
                <ns5:sty ns5:val="p"/>
              </ns5:rPr>
              <ns5:t>,</ns5:t>
            </ns5:r>
            <ns5:sSub>
              <ns5:e>
                <ns5:r>
                  <ns5:t>y</ns5:t>
                </ns5:r>
              </ns5:e>
              <ns5:sub>
                <ns5:r>
                  <ns5:t>i</ns5:t>
                </ns5:r>
              </ns5:sub>
            </ns5:sSub>
          </ns5:e>
        </ns5:d>
      </ns5:oMath>
      <w:r>
        <w:t xml:space="preserve"> </w:t>
      </w:r>
      <w:r>
        <w:t xml:space="preserve">beitragen. Ein Streudiagramm ist der unverzichtbare Ausgangspunkt: Lege eine Variable auf die horizontale und die andere auf die vertikale Achse und stelle jeden Fall als einen Punkt dar. Die entstehende Punktwolke zeigt Richtung, Form, Stärke, Häufungen und ungewöhnliche Beobachtungen auf eine Weise, die ein einzelner Koeffizient nicht leisten kann.</w:t>
      </w:r>
    </w:p>
    <w:p>
      <w:pPr>
        <w:pStyle w:val="BodyText"/>
      </w:pPr>
      <w:r>
        <w:t xml:space="preserve">Ein positiver Zusammenhang bedeutet, dass Fälle mit grösseren</w:t>
      </w:r>
      <w:r>
        <w:t xml:space="preserve"> </w:t>
      </w:r>
      <ns5:oMath>
        <ns5:r>
          <ns5:t>x</ns5:t>
        </ns5:r>
      </ns5:oMath>
      <w:r>
        <w:t xml:space="preserve">-Werten tendenziell auch grössere</w:t>
      </w:r>
      <w:r>
        <w:t xml:space="preserve"> </w:t>
      </w:r>
      <ns5:oMath>
        <ns5:r>
          <ns5:t>y</ns5:t>
        </ns5:r>
      </ns5:oMath>
      <w:r>
        <w:t xml:space="preserve">-Werte besitzen. Ein negativer Zusammenhang bedeutet, dass grössere</w:t>
      </w:r>
      <w:r>
        <w:t xml:space="preserve"> </w:t>
      </w:r>
      <ns5:oMath>
        <ns5:r>
          <ns5:t>x</ns5:t>
        </ns5:r>
      </ns5:oMath>
      <w:r>
        <w:t xml:space="preserve">-Werte tendenziell mit kleineren</w:t>
      </w:r>
      <w:r>
        <w:t xml:space="preserve"> </w:t>
      </w:r>
      <ns5:oMath>
        <ns5:r>
          <ns5:t>y</ns5:t>
        </ns5:r>
      </ns5:oMath>
      <w:r>
        <w:t xml:space="preserve">-Werten einhergehen. Ein Wert nahe null bei einem linearen Koeffizienten bedeutet wenig linearen Zusammenhang, aber nicht zwingend überhaupt keinen Zusammenhang. Gekrümmte Muster, getrennte Untergruppen oder ein eingeschränkter Wertebereich können einen Koeffizienten unvollständig oder irreführend machen.</w:t>
      </w:r>
    </w:p>
    <w:p>
      <w:pPr>
        <w:pStyle w:val="BodyText"/>
      </w:pPr>
      <w:r>
        <w:t xml:space="preserve">Die Kovarianz beginnt mit den Abweichungen von den beiden Mittelwerten. Ein Fall trägt positiv bei, wenn beide Werte über ihren Mittelwerten oder beide darunter liegen. Er trägt negativ bei, wenn ein Wert über und der andere unter seinem Mittelwert liegt. Der Mittelwert dieser Kreuzprodukte ergibt die Stichprobenkovarianz. Ihr Vorzeichen ist aufschlussreich, ihr Betrag hängt jedoch von den Masseinheiten ab. Werden Stunden beispielsweise in Minuten gemessen, verändert sich die Kovarianz, obwohl die zugrunde liegende Paarung der Fälle unverändert bleibt.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381"/>
        <w:gridCol w:w="3429"/>
        <w:gridCol w:w="3714"/>
      </w:tblGrid>
      <w:tr>
        <w:trPr>
          <w:cantSplit/>
          <w:tblHeader w:val="on"/>
        </w:trPr>
        <w:tc>
          <w:tcPr>
            <w:tcW w:w="2381" w:type="dxa"/>
            <w:shd w:fill="EAF2F6"/>
            <w:vAlign w:val="center"/>
          </w:tcPr>
          <w:p>
            <w:pPr>
              <w:pStyle w:val="Compact"/>
              <w:keepLines/>
              <w:widowControl/>
              <w:spacing w:before="0" w:after="40" w:line="240" w:lineRule="auto"/>
              <w:jc w:val="left"/>
            </w:pPr>
            <w:r>
              <w:rPr>
                <w:b/>
                <w:color w:val="183B56"/>
                <w:sz w:val="20"/>
                <w:szCs w:val="20"/>
              </w:rPr>
              <w:t xml:space="preserve">Merkmal</w:t>
            </w:r>
          </w:p>
        </w:tc>
        <w:tc>
          <w:tcPr>
            <w:tcW w:w="3429" w:type="dxa"/>
            <w:shd w:fill="EAF2F6"/>
            <w:vAlign w:val="center"/>
          </w:tcPr>
          <w:p>
            <w:pPr>
              <w:pStyle w:val="Compact"/>
              <w:keepLines/>
              <w:widowControl/>
              <w:spacing w:before="0" w:after="40" w:line="240" w:lineRule="auto"/>
              <w:jc w:val="left"/>
            </w:pPr>
            <w:r>
              <w:rPr>
                <w:b/>
                <w:color w:val="183B56"/>
                <w:sz w:val="20"/>
                <w:szCs w:val="20"/>
              </w:rPr>
              <w:t xml:space="preserve">Kovarianz</w:t>
            </w:r>
          </w:p>
        </w:tc>
        <w:tc>
          <w:tcPr>
            <w:tcW w:w="3714" w:type="dxa"/>
            <w:shd w:fill="EAF2F6"/>
            <w:vAlign w:val="center"/>
          </w:tcPr>
          <w:p>
            <w:pPr>
              <w:pStyle w:val="Compact"/>
              <w:keepLines/>
              <w:widowControl/>
              <w:spacing w:before="0" w:after="40" w:line="240" w:lineRule="auto"/>
              <w:jc w:val="left"/>
            </w:pPr>
            <w:r>
              <w:rPr>
                <w:b/>
                <w:color w:val="183B56"/>
                <w:sz w:val="20"/>
                <w:szCs w:val="20"/>
              </w:rPr>
              <w:t xml:space="preserve">Pearson-Korrelation</w:t>
            </w:r>
          </w:p>
        </w:tc>
      </w:tr>
      <w:tr>
        <w:trPr>
          <w:cantSplit/>
        </w:trPr>
        <w:tc>
          <w:tcPr>
            <w:tcW w:w="2381" w:type="dxa"/>
            <w:shd w:fill="F3F7F9"/>
            <w:vAlign w:val="top"/>
          </w:tcPr>
          <w:p>
            <w:pPr>
              <w:pStyle w:val="Compact"/>
              <w:keepLines/>
              <w:widowControl/>
              <w:spacing w:before="0" w:after="40" w:line="240" w:lineRule="auto"/>
              <w:jc w:val="left"/>
            </w:pPr>
            <w:r>
              <w:rPr>
                <w:sz w:val="20"/>
                <w:szCs w:val="20"/>
              </w:rPr>
              <w:t xml:space="preserve">Richtung</w:t>
            </w:r>
          </w:p>
        </w:tc>
        <w:tc>
          <w:tcPr>
            <w:tcW w:w="3429" w:type="dxa"/>
            <w:shd w:fill="F3F7F9"/>
            <w:vAlign w:val="top"/>
          </w:tcPr>
          <w:p>
            <w:pPr>
              <w:pStyle w:val="Compact"/>
              <w:keepLines/>
              <w:widowControl/>
              <w:spacing w:before="0" w:after="40" w:line="240" w:lineRule="auto"/>
              <w:jc w:val="left"/>
            </w:pPr>
            <w:r>
              <w:rPr>
                <w:sz w:val="20"/>
                <w:szCs w:val="20"/>
              </w:rPr>
              <w:t xml:space="preserve">Das Vorzeichen zeigt positive oder negative gemeinsame Variation</w:t>
            </w:r>
          </w:p>
        </w:tc>
        <w:tc>
          <w:tcPr>
            <w:tcW w:w="3714" w:type="dxa"/>
            <w:shd w:fill="F3F7F9"/>
            <w:vAlign w:val="top"/>
          </w:tcPr>
          <w:p>
            <w:pPr>
              <w:pStyle w:val="Compact"/>
              <w:keepLines/>
              <w:widowControl/>
              <w:spacing w:before="0" w:after="40" w:line="240" w:lineRule="auto"/>
              <w:jc w:val="left"/>
            </w:pPr>
            <w:r>
              <w:rPr>
                <w:sz w:val="20"/>
                <w:szCs w:val="20"/>
              </w:rPr>
              <w:t xml:space="preserve">Das Vorzeichen zeigt einen positiven oder negativen linearen Zusammenhang</w:t>
            </w:r>
          </w:p>
        </w:tc>
      </w:tr>
      <w:tr>
        <w:trPr>
          <w:cantSplit/>
        </w:trPr>
        <w:tc>
          <w:tcPr>
            <w:tcW w:w="2381" w:type="dxa"/>
            <w:shd w:fill="FFFFFF"/>
            <w:vAlign w:val="top"/>
          </w:tcPr>
          <w:p>
            <w:pPr>
              <w:pStyle w:val="Compact"/>
              <w:keepLines/>
              <w:widowControl/>
              <w:spacing w:before="0" w:after="40" w:line="240" w:lineRule="auto"/>
              <w:jc w:val="left"/>
            </w:pPr>
            <w:r>
              <w:rPr>
                <w:sz w:val="20"/>
                <w:szCs w:val="20"/>
              </w:rPr>
              <w:t xml:space="preserve">Skala</w:t>
            </w:r>
          </w:p>
        </w:tc>
        <w:tc>
          <w:tcPr>
            <w:tcW w:w="3429" w:type="dxa"/>
            <w:shd w:fill="FFFFFF"/>
            <w:vAlign w:val="top"/>
          </w:tcPr>
          <w:p>
            <w:pPr>
              <w:pStyle w:val="Compact"/>
              <w:keepLines/>
              <w:widowControl/>
              <w:spacing w:before="0" w:after="40" w:line="240" w:lineRule="auto"/>
              <w:jc w:val="left"/>
            </w:pPr>
            <w:r>
              <w:rPr>
                <w:sz w:val="20"/>
                <w:szCs w:val="20"/>
              </w:rPr>
              <w:t xml:space="preserve">Hängt von den Einheiten beider Variablen ab</w:t>
            </w:r>
          </w:p>
        </w:tc>
        <w:tc>
          <w:tcPr>
            <w:tcW w:w="3714" w:type="dxa"/>
            <w:shd w:fill="FFFFFF"/>
            <w:vAlign w:val="top"/>
          </w:tcPr>
          <w:p>
            <w:pPr>
              <w:pStyle w:val="Compact"/>
              <w:keepLines/>
              <w:widowControl/>
              <w:spacing w:before="0" w:after="40" w:line="240" w:lineRule="auto"/>
              <w:jc w:val="left"/>
            </w:pPr>
            <w:r>
              <w:rPr>
                <w:sz w:val="20"/>
                <w:szCs w:val="20"/>
              </w:rPr>
              <w:t xml:space="preserve">Einheitenlos, weil beide Variablen standardisiert werden</w:t>
            </w:r>
          </w:p>
        </w:tc>
      </w:tr>
      <w:tr>
        <w:trPr>
          <w:cantSplit/>
        </w:trPr>
        <w:tc>
          <w:tcPr>
            <w:tcW w:w="2381" w:type="dxa"/>
            <w:shd w:fill="F3F7F9"/>
            <w:vAlign w:val="top"/>
          </w:tcPr>
          <w:p>
            <w:pPr>
              <w:pStyle w:val="Compact"/>
              <w:keepLines/>
              <w:widowControl/>
              <w:spacing w:before="0" w:after="40" w:line="240" w:lineRule="auto"/>
              <w:jc w:val="left"/>
            </w:pPr>
            <w:r>
              <w:rPr>
                <w:sz w:val="20"/>
                <w:szCs w:val="20"/>
              </w:rPr>
              <w:t xml:space="preserve">Wertebereich</w:t>
            </w:r>
          </w:p>
        </w:tc>
        <w:tc>
          <w:tcPr>
            <w:tcW w:w="3429" w:type="dxa"/>
            <w:shd w:fill="F3F7F9"/>
            <w:vAlign w:val="top"/>
          </w:tcPr>
          <w:p>
            <w:pPr>
              <w:pStyle w:val="Compact"/>
              <w:keepLines/>
              <w:widowControl/>
              <w:spacing w:before="0" w:after="40" w:line="240" w:lineRule="auto"/>
              <w:jc w:val="left"/>
            </w:pPr>
            <w:r>
              <w:rPr>
                <w:sz w:val="20"/>
                <w:szCs w:val="20"/>
              </w:rPr>
              <w:t xml:space="preserve">Nicht auf ein festes Intervall beschränkt</w:t>
            </w:r>
          </w:p>
        </w:tc>
        <w:tc>
          <w:tcPr>
            <w:tcW w:w="3714" w:type="dxa"/>
            <w:shd w:fill="F3F7F9"/>
            <w:vAlign w:val="top"/>
          </w:tcPr>
          <w:p>
            <w:pPr>
              <w:pStyle w:val="Compact"/>
              <w:keepLines/>
              <w:widowControl/>
              <w:spacing w:before="0" w:after="40" w:line="240" w:lineRule="auto"/>
              <w:jc w:val="left"/>
            </w:pPr>
            <w:r>
              <w:rPr>
                <w:sz w:val="20"/>
                <w:szCs w:val="20"/>
              </w:rPr>
              <w:t xml:space="preserve">Liegt immer zwischen</w:t>
            </w:r>
            <w:r>
              <w:rPr>
                <w:sz w:val="20"/>
                <w:szCs w:val="20"/>
              </w:rPr>
              <w:t xml:space="preserve"> </w:t>
            </w:r>
            <ns5:oMath>
              <ns5:r>
                <ns5:rPr>
                  <ns5:sty ns5:val="p"/>
                </ns5:rPr>
                <ns5:t>−</ns5:t>
              </ns5:r>
              <ns5:r>
                <ns5:t>1</ns5:t>
              </ns5:r>
            </ns5:oMath>
            <w:r>
              <w:rPr>
                <w:sz w:val="20"/>
                <w:szCs w:val="20"/>
              </w:rPr>
              <w:t xml:space="preserve"> </w:t>
            </w:r>
            <w:r>
              <w:rPr>
                <w:sz w:val="20"/>
                <w:szCs w:val="20"/>
              </w:rPr>
              <w:t xml:space="preserve">und</w:t>
            </w:r>
            <w:r>
              <w:rPr>
                <w:sz w:val="20"/>
                <w:szCs w:val="20"/>
              </w:rPr>
              <w:t xml:space="preserve"> </w:t>
            </w:r>
            <ns5:oMath>
              <ns5:r>
                <ns5:t>1</ns5:t>
              </ns5:r>
            </ns5:oMath>
          </w:p>
        </w:tc>
      </w:tr>
      <w:tr>
        <w:trPr>
          <w:cantSplit/>
        </w:trPr>
        <w:tc>
          <w:tcPr>
            <w:tcW w:w="2381" w:type="dxa"/>
            <w:shd w:fill="FFFFFF"/>
            <w:vAlign w:val="top"/>
          </w:tcPr>
          <w:p>
            <w:pPr>
              <w:pStyle w:val="Compact"/>
              <w:keepLines/>
              <w:widowControl/>
              <w:spacing w:before="0" w:after="40" w:line="240" w:lineRule="auto"/>
              <w:jc w:val="left"/>
            </w:pPr>
            <w:r>
              <w:rPr>
                <w:sz w:val="20"/>
                <w:szCs w:val="20"/>
              </w:rPr>
              <w:t xml:space="preserve">Hauptaufgabe</w:t>
            </w:r>
          </w:p>
        </w:tc>
        <w:tc>
          <w:tcPr>
            <w:tcW w:w="3429" w:type="dxa"/>
            <w:shd w:fill="FFFFFF"/>
            <w:vAlign w:val="top"/>
          </w:tcPr>
          <w:p>
            <w:pPr>
              <w:pStyle w:val="Compact"/>
              <w:keepLines/>
              <w:widowControl/>
              <w:spacing w:before="0" w:after="40" w:line="240" w:lineRule="auto"/>
              <w:jc w:val="left"/>
            </w:pPr>
            <w:r>
              <w:rPr>
                <w:sz w:val="20"/>
                <w:szCs w:val="20"/>
              </w:rPr>
              <w:t xml:space="preserve">Baustein für Zusammenhang und Regression</w:t>
            </w:r>
          </w:p>
        </w:tc>
        <w:tc>
          <w:tcPr>
            <w:tcW w:w="3714" w:type="dxa"/>
            <w:shd w:fill="FFFFFF"/>
            <w:vAlign w:val="top"/>
          </w:tcPr>
          <w:p>
            <w:pPr>
              <w:pStyle w:val="Compact"/>
              <w:keepLines/>
              <w:widowControl/>
              <w:spacing w:before="0" w:after="40" w:line="240" w:lineRule="auto"/>
              <w:jc w:val="left"/>
            </w:pPr>
            <w:r>
              <w:rPr>
                <w:sz w:val="20"/>
                <w:szCs w:val="20"/>
              </w:rPr>
              <w:t xml:space="preserve">Vergleichbarer Kennwert für lineare Richtung und Stärke</w:t>
            </w:r>
          </w:p>
        </w:tc>
      </w:tr>
    </w:tbl>
    <w:bookmarkEnd w:id="28"/>
    <w:bookmarkStart w:id="29" w:name="zentrale-ideen"/>
    <w:p>
      <w:pPr>
        <w:pStyle w:val="Heading2"/>
      </w:pPr>
      <w:r>
        <w:t xml:space="preserve">Zentrale Ideen</w:t>
      </w:r>
    </w:p>
    <w:p>
      <w:pPr>
        <w:pStyle w:val="FirstParagraph"/>
      </w:pPr>
      <w:r>
        <w:t xml:space="preserve">Die Pearson-Korrelation</w:t>
      </w:r>
      <w:r>
        <w:t xml:space="preserve"> </w:t>
      </w:r>
      <ns5:oMath>
        <ns5:r>
          <ns5:t>r</ns5:t>
        </ns5:r>
      </ns5:oMath>
      <w:r>
        <w:t xml:space="preserve"> </w:t>
      </w:r>
      <w:r>
        <w:t xml:space="preserve">standardisiert die Kovarianz, indem sie durch die beiden Stichprobenstandardabweichungen geteilt wird. Ein Wert nahe</w:t>
      </w:r>
      <w:r>
        <w:t xml:space="preserve"> </w:t>
      </w:r>
      <ns5:oMath>
        <ns5:r>
          <ns5:t>1</ns5:t>
        </ns5:r>
      </ns5:oMath>
      <w:r>
        <w:t xml:space="preserve"> </w:t>
      </w:r>
      <w:r>
        <w:t xml:space="preserve">zeigt, dass die Punkte einem starken positiven geradlinigen Muster folgen. Ein Wert nahe</w:t>
      </w:r>
      <w:r>
        <w:t xml:space="preserve"> </w:t>
      </w:r>
      <ns5:oMath>
        <ns5:r>
          <ns5:rPr>
            <ns5:sty ns5:val="p"/>
          </ns5:rPr>
          <ns5:t>−</ns5:t>
        </ns5:r>
        <ns5:r>
          <ns5:t>1</ns5:t>
        </ns5:r>
      </ns5:oMath>
      <w:r>
        <w:t xml:space="preserve"> </w:t>
      </w:r>
      <w:r>
        <w:t xml:space="preserve">zeigt ein starkes negatives geradliniges Muster. Ein Wert nahe null zeigt wenig geradliniges Muster. Der Koeffizient beschreibt die Stichprobe. Die Populationskorrelation wird gewöhnlich als</w:t>
      </w:r>
      <w:r>
        <w:t xml:space="preserve"> </w:t>
      </w:r>
      <ns5:oMath>
        <ns5:r>
          <ns5:t>ρ</ns5:t>
        </ns5:r>
      </ns5:oMath>
      <w:r>
        <w:t xml:space="preserve"> </w:t>
      </w:r>
      <w:r>
        <w:t xml:space="preserve">geschrieben. Wenn das Ziel eine Aussage über die Grundgesamtheit ist, wird Inferenz benötigt.</w:t>
      </w:r>
    </w:p>
    <w:p>
      <w:pPr>
        <w:pStyle w:val="BodyText"/>
      </w:pPr>
      <w:r>
        <w:t xml:space="preserve">Die Spearman-Rangkorrelation ersetzt die beobachteten Werte durch ihre Ränge und beurteilt, ob die Variablen einer</w:t>
      </w:r>
      <w:r>
        <w:t xml:space="preserve"> </w:t>
      </w:r>
      <w:r>
        <w:rPr>
          <w:b/>
          <w:bCs/>
        </w:rPr>
        <w:t xml:space="preserve">monotonen</w:t>
      </w:r>
      <w:r>
        <w:t xml:space="preserve"> </w:t>
      </w:r>
      <w:r>
        <w:t xml:space="preserve">Beziehung folgen. Monoton bedeutet, dass sich die Tendenz durchgehend in eine Richtung bewegt: Wenn eine Variable zunimmt, nimmt die andere im Allgemeinen ebenfalls zu oder im Allgemeinen ab. Das Muster darf dabei gekrümmt sein, solange diese Reihenfolge erhalten bleibt. Die Spearman-Korrelation kann deshalb bei einem gekrümmten monotonen Zusammenhang hoch bleiben, den die Pearson-Korrelation weniger vollständig zusammenfasst. Keiner der beiden Koeffizienten stellt eine U-förmige Beziehung gut dar, weil sich die Richtung über den Wertebereich umkehrt.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952"/>
        <w:gridCol w:w="3048"/>
        <w:gridCol w:w="3524"/>
      </w:tblGrid>
      <w:tr>
        <w:trPr>
          <w:cantSplit/>
          <w:tblHeader w:val="on"/>
        </w:trPr>
        <w:tc>
          <w:tcPr>
            <w:tcW w:w="2952" w:type="dxa"/>
            <w:shd w:fill="EAF2F6"/>
            <w:vAlign w:val="center"/>
          </w:tcPr>
          <w:p>
            <w:pPr>
              <w:pStyle w:val="Compact"/>
              <w:keepLines/>
              <w:widowControl/>
              <w:spacing w:before="0" w:after="40" w:line="240" w:lineRule="auto"/>
              <w:jc w:val="left"/>
            </w:pPr>
            <w:r>
              <w:rPr>
                <w:b/>
                <w:color w:val="183B56"/>
                <w:sz w:val="20"/>
                <w:szCs w:val="20"/>
              </w:rPr>
              <w:t xml:space="preserve">Diagnosefrage</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Was du untersuchst</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Weshalb es die Interpretation verändert</w:t>
            </w:r>
          </w:p>
        </w:tc>
      </w:tr>
      <w:tr>
        <w:trPr>
          <w:cantSplit/>
        </w:trPr>
        <w:tc>
          <w:tcPr>
            <w:tcW w:w="2952" w:type="dxa"/>
            <w:shd w:fill="F3F7F9"/>
            <w:vAlign w:val="top"/>
          </w:tcPr>
          <w:p>
            <w:pPr>
              <w:pStyle w:val="Compact"/>
              <w:keepLines/>
              <w:widowControl/>
              <w:spacing w:before="0" w:after="40" w:line="240" w:lineRule="auto"/>
              <w:jc w:val="left"/>
            </w:pPr>
            <w:r>
              <w:rPr>
                <w:sz w:val="20"/>
                <w:szCs w:val="20"/>
              </w:rPr>
              <w:t xml:space="preserve">Ist die Form annähernd linear?</w:t>
            </w:r>
          </w:p>
        </w:tc>
        <w:tc>
          <w:tcPr>
            <w:tcW w:w="3048" w:type="dxa"/>
            <w:shd w:fill="F3F7F9"/>
            <w:vAlign w:val="top"/>
          </w:tcPr>
          <w:p>
            <w:pPr>
              <w:pStyle w:val="Compact"/>
              <w:keepLines/>
              <w:widowControl/>
              <w:spacing w:before="0" w:after="40" w:line="240" w:lineRule="auto"/>
              <w:jc w:val="left"/>
            </w:pPr>
            <w:r>
              <w:rPr>
                <w:sz w:val="20"/>
                <w:szCs w:val="20"/>
              </w:rPr>
              <w:t xml:space="preserve">Streudiagramm und mögliches geglättetes Muster</w:t>
            </w:r>
          </w:p>
        </w:tc>
        <w:tc>
          <w:tcPr>
            <w:tcW w:w="3524" w:type="dxa"/>
            <w:shd w:fill="F3F7F9"/>
            <w:vAlign w:val="top"/>
          </w:tcPr>
          <w:p>
            <w:pPr>
              <w:pStyle w:val="Compact"/>
              <w:keepLines/>
              <w:widowControl/>
              <w:spacing w:before="0" w:after="40" w:line="240" w:lineRule="auto"/>
              <w:jc w:val="left"/>
            </w:pPr>
            <w:r>
              <w:rPr>
                <w:sz w:val="20"/>
                <w:szCs w:val="20"/>
              </w:rPr>
              <w:t xml:space="preserve">Pearson-</w:t>
            </w:r>
            <ns5:oMath>
              <ns5:r>
                <ns5:t>r</ns5:t>
              </ns5:r>
            </ns5:oMath>
            <w:r>
              <w:rPr>
                <w:sz w:val="20"/>
                <w:szCs w:val="20"/>
              </w:rPr>
              <w:t xml:space="preserve"> </w:t>
            </w:r>
            <w:r>
              <w:rPr>
                <w:sz w:val="20"/>
                <w:szCs w:val="20"/>
              </w:rPr>
              <w:t xml:space="preserve">fasst eine geradlinige Tendenz zusammen</w:t>
            </w:r>
          </w:p>
        </w:tc>
      </w:tr>
      <w:tr>
        <w:trPr>
          <w:cantSplit/>
        </w:trPr>
        <w:tc>
          <w:tcPr>
            <w:tcW w:w="2952" w:type="dxa"/>
            <w:shd w:fill="FFFFFF"/>
            <w:vAlign w:val="top"/>
          </w:tcPr>
          <w:p>
            <w:pPr>
              <w:pStyle w:val="Compact"/>
              <w:keepLines/>
              <w:widowControl/>
              <w:spacing w:before="0" w:after="40" w:line="240" w:lineRule="auto"/>
              <w:jc w:val="left"/>
            </w:pPr>
            <w:r>
              <w:rPr>
                <w:sz w:val="20"/>
                <w:szCs w:val="20"/>
              </w:rPr>
              <w:t xml:space="preserve">Sind ungewöhnliche Punkte einflussreich?</w:t>
            </w:r>
          </w:p>
        </w:tc>
        <w:tc>
          <w:tcPr>
            <w:tcW w:w="3048" w:type="dxa"/>
            <w:shd w:fill="FFFFFF"/>
            <w:vAlign w:val="top"/>
          </w:tcPr>
          <w:p>
            <w:pPr>
              <w:pStyle w:val="Compact"/>
              <w:keepLines/>
              <w:widowControl/>
              <w:spacing w:before="0" w:after="40" w:line="240" w:lineRule="auto"/>
              <w:jc w:val="left"/>
            </w:pPr>
            <w:r>
              <w:rPr>
                <w:sz w:val="20"/>
                <w:szCs w:val="20"/>
              </w:rPr>
              <w:t xml:space="preserve">Beschriftetes Streudiagramm und Empfindlichkeitsvergleich</w:t>
            </w:r>
          </w:p>
        </w:tc>
        <w:tc>
          <w:tcPr>
            <w:tcW w:w="3524" w:type="dxa"/>
            <w:shd w:fill="FFFFFF"/>
            <w:vAlign w:val="top"/>
          </w:tcPr>
          <w:p>
            <w:pPr>
              <w:pStyle w:val="Compact"/>
              <w:keepLines/>
              <w:widowControl/>
              <w:spacing w:before="0" w:after="40" w:line="240" w:lineRule="auto"/>
              <w:jc w:val="left"/>
            </w:pPr>
            <w:r>
              <w:rPr>
                <w:sz w:val="20"/>
                <w:szCs w:val="20"/>
              </w:rPr>
              <w:t xml:space="preserve">Ein weit entfernter Punkt kann Richtung oder Betrag verändern</w:t>
            </w:r>
          </w:p>
        </w:tc>
      </w:tr>
      <w:tr>
        <w:trPr>
          <w:cantSplit/>
        </w:trPr>
        <w:tc>
          <w:tcPr>
            <w:tcW w:w="2952" w:type="dxa"/>
            <w:shd w:fill="F3F7F9"/>
            <w:vAlign w:val="top"/>
          </w:tcPr>
          <w:p>
            <w:pPr>
              <w:pStyle w:val="Compact"/>
              <w:keepLines/>
              <w:widowControl/>
              <w:spacing w:before="0" w:after="40" w:line="240" w:lineRule="auto"/>
              <w:jc w:val="left"/>
            </w:pPr>
            <w:r>
              <w:rPr>
                <w:sz w:val="20"/>
                <w:szCs w:val="20"/>
              </w:rPr>
              <w:t xml:space="preserve">Werden Gruppen vermischt?</w:t>
            </w:r>
          </w:p>
        </w:tc>
        <w:tc>
          <w:tcPr>
            <w:tcW w:w="3048" w:type="dxa"/>
            <w:shd w:fill="F3F7F9"/>
            <w:vAlign w:val="top"/>
          </w:tcPr>
          <w:p>
            <w:pPr>
              <w:pStyle w:val="Compact"/>
              <w:keepLines/>
              <w:widowControl/>
              <w:spacing w:before="0" w:after="40" w:line="240" w:lineRule="auto"/>
              <w:jc w:val="left"/>
            </w:pPr>
            <w:r>
              <w:rPr>
                <w:sz w:val="20"/>
                <w:szCs w:val="20"/>
              </w:rPr>
              <w:t xml:space="preserve">Farben oder getrennte Felder für inhaltlich bedeutsame Gruppen</w:t>
            </w:r>
          </w:p>
        </w:tc>
        <w:tc>
          <w:tcPr>
            <w:tcW w:w="3524" w:type="dxa"/>
            <w:shd w:fill="F3F7F9"/>
            <w:vAlign w:val="top"/>
          </w:tcPr>
          <w:p>
            <w:pPr>
              <w:pStyle w:val="Compact"/>
              <w:keepLines/>
              <w:widowControl/>
              <w:spacing w:before="0" w:after="40" w:line="240" w:lineRule="auto"/>
              <w:jc w:val="left"/>
            </w:pPr>
            <w:r>
              <w:rPr>
                <w:sz w:val="20"/>
                <w:szCs w:val="20"/>
              </w:rPr>
              <w:t xml:space="preserve">Ein zusammengefasster Zusammenhang kann sich von den Zusammenhängen innerhalb der Gruppen unterscheiden</w:t>
            </w:r>
          </w:p>
        </w:tc>
      </w:tr>
      <w:tr>
        <w:trPr>
          <w:cantSplit/>
        </w:trPr>
        <w:tc>
          <w:tcPr>
            <w:tcW w:w="2952" w:type="dxa"/>
            <w:shd w:fill="FFFFFF"/>
            <w:vAlign w:val="top"/>
          </w:tcPr>
          <w:p>
            <w:pPr>
              <w:pStyle w:val="Compact"/>
              <w:keepLines/>
              <w:widowControl/>
              <w:spacing w:before="0" w:after="40" w:line="240" w:lineRule="auto"/>
              <w:jc w:val="left"/>
            </w:pPr>
            <w:r>
              <w:rPr>
                <w:sz w:val="20"/>
                <w:szCs w:val="20"/>
              </w:rPr>
              <w:t xml:space="preserve">Ist der beobachtete Bereich eingeschränkt?</w:t>
            </w:r>
          </w:p>
        </w:tc>
        <w:tc>
          <w:tcPr>
            <w:tcW w:w="3048" w:type="dxa"/>
            <w:shd w:fill="FFFFFF"/>
            <w:vAlign w:val="top"/>
          </w:tcPr>
          <w:p>
            <w:pPr>
              <w:pStyle w:val="Compact"/>
              <w:keepLines/>
              <w:widowControl/>
              <w:spacing w:before="0" w:after="40" w:line="240" w:lineRule="auto"/>
              <w:jc w:val="left"/>
            </w:pPr>
            <w:r>
              <w:rPr>
                <w:sz w:val="20"/>
                <w:szCs w:val="20"/>
              </w:rPr>
              <w:t xml:space="preserve">Wertebereiche der Variablen und Stichprobenverfahren</w:t>
            </w:r>
          </w:p>
        </w:tc>
        <w:tc>
          <w:tcPr>
            <w:tcW w:w="3524" w:type="dxa"/>
            <w:shd w:fill="FFFFFF"/>
            <w:vAlign w:val="top"/>
          </w:tcPr>
          <w:p>
            <w:pPr>
              <w:pStyle w:val="Compact"/>
              <w:keepLines/>
              <w:widowControl/>
              <w:spacing w:before="0" w:after="40" w:line="240" w:lineRule="auto"/>
              <w:jc w:val="left"/>
            </w:pPr>
            <w:r>
              <w:rPr>
                <w:sz w:val="20"/>
                <w:szCs w:val="20"/>
              </w:rPr>
              <w:t xml:space="preserve">Begrenzte Variation kann einen beobachteten Koeffizienten abschwächen</w:t>
            </w:r>
          </w:p>
        </w:tc>
      </w:tr>
      <w:tr>
        <w:trPr>
          <w:cantSplit/>
        </w:trPr>
        <w:tc>
          <w:tcPr>
            <w:tcW w:w="2952" w:type="dxa"/>
            <w:shd w:fill="F3F7F9"/>
            <w:vAlign w:val="top"/>
          </w:tcPr>
          <w:p>
            <w:pPr>
              <w:pStyle w:val="Compact"/>
              <w:keepLines/>
              <w:widowControl/>
              <w:spacing w:before="0" w:after="40" w:line="240" w:lineRule="auto"/>
              <w:jc w:val="left"/>
            </w:pPr>
            <w:r>
              <w:rPr>
                <w:sz w:val="20"/>
                <w:szCs w:val="20"/>
              </w:rPr>
              <w:t xml:space="preserve">Ist die Paarung gültig?</w:t>
            </w:r>
          </w:p>
        </w:tc>
        <w:tc>
          <w:tcPr>
            <w:tcW w:w="3048" w:type="dxa"/>
            <w:shd w:fill="F3F7F9"/>
            <w:vAlign w:val="top"/>
          </w:tcPr>
          <w:p>
            <w:pPr>
              <w:pStyle w:val="Compact"/>
              <w:keepLines/>
              <w:widowControl/>
              <w:spacing w:before="0" w:after="40" w:line="240" w:lineRule="auto"/>
              <w:jc w:val="left"/>
            </w:pPr>
            <w:r>
              <w:rPr>
                <w:sz w:val="20"/>
                <w:szCs w:val="20"/>
              </w:rPr>
              <w:t xml:space="preserve">Fallkennungen und Messzeitpunkte</w:t>
            </w:r>
          </w:p>
        </w:tc>
        <w:tc>
          <w:tcPr>
            <w:tcW w:w="3524" w:type="dxa"/>
            <w:shd w:fill="F3F7F9"/>
            <w:vAlign w:val="top"/>
          </w:tcPr>
          <w:p>
            <w:pPr>
              <w:pStyle w:val="Compact"/>
              <w:keepLines/>
              <w:widowControl/>
              <w:spacing w:before="0" w:after="40" w:line="240" w:lineRule="auto"/>
              <w:jc w:val="left"/>
            </w:pPr>
            <w:r>
              <w:rPr>
                <w:sz w:val="20"/>
                <w:szCs w:val="20"/>
              </w:rPr>
              <w:t xml:space="preserve">Bei einer Korrelation müssen sich beide Werte auf denselben Fall beziehen</w:t>
            </w:r>
          </w:p>
        </w:tc>
      </w:tr>
    </w:tbl>
    <w:p>
      <w:pPr>
        <w:pStyle w:val="BodyText"/>
      </w:pPr>
      <w:r>
        <w:t xml:space="preserve">Korrelation belegt keine Kausalität. Ein beobachteter Zusammenhang kann einen direkten Einfluss, die umgekehrte Einflussrichtung, eine mit beiden Variablen verbundene Drittvariable, die Auswahl in die Stichprobe, Messartefakte oder Zufall widerspiegeln. Zeitliche Reihenfolge und ein glaubwürdiges Forschungsdesign liefern Informationen, die ein Koeffizient allein nicht geben kann. Auch wenn keine kausale Aussage beabsichtigt ist, entscheidet der inhaltliche Kontext darüber, ob die gepaarten Variablen und ihre Interpretation sinnvoll sind.</w:t>
      </w:r>
    </w:p>
    <w:p>
      <w:pPr>
        <w:pStyle w:val="BodyText"/>
      </w:pPr>
      <w:r>
        <w:t xml:space="preserve">Wenn eine Aussage über die Grundgesamtheit beabsichtigt ist, kann der Stichprobenkoeffizient gegen</w:t>
      </w:r>
      <w:r>
        <w:t xml:space="preserve"> </w:t>
      </w:r>
      <ns5:oMath>
        <ns5:sSub>
          <ns5:e>
            <ns5:r>
              <ns5:t>H</ns5:t>
            </ns5:r>
          </ns5:e>
          <ns5:sub>
            <ns5:r>
              <ns5:t>0</ns5:t>
            </ns5:r>
          </ns5:sub>
        </ns5:sSub>
        <ns5:r>
          <ns5:rPr>
            <ns5:sty ns5:val="p"/>
          </ns5:rPr>
          <ns5:t>:</ns5:t>
        </ns5:r>
        <ns5:r>
          <ns5:t>ρ</ns5:t>
        </ns5:r>
        <ns5:r>
          <ns5:rPr>
            <ns5:sty ns5:val="p"/>
          </ns5:rPr>
          <ns5:t>=</ns5:t>
        </ns5:r>
        <ns5:r>
          <ns5:t>0</ns5:t>
        </ns5:r>
      </ns5:oMath>
      <w:r>
        <w:t xml:space="preserve"> </w:t>
      </w:r>
      <w:r>
        <w:t xml:space="preserve">getestet werden. Halte diesen Test von Betrag und praktischer Bedeutung getrennt. Ein kleiner p-Wert betrifft unter dem Modell die Vereinbarkeit mit einer Populationskorrelation von null. Er macht den Zusammenhang nicht automatisch gross, wichtig oder kausal.</w:t>
      </w:r>
    </w:p>
    <w:bookmarkEnd w:id="29"/>
    <w:bookmarkStart w:id="30" w:name="formelleitfaden"/>
    <w:p>
      <w:pPr>
        <w:pStyle w:val="Heading2"/>
      </w:pPr>
      <w:r>
        <w:t xml:space="preserve">Formelleitfaden</w:t>
      </w:r>
    </w:p>
    <w:p>
      <w:pPr>
        <w:pStyle w:val="FirstParagraph"/>
      </w:pPr>
      <w:r>
        <w:t xml:space="preserve">Die Stichprobenkovarianz bildet den Mittelwert gepaarter Kreuzprodukte von Abweichungen und verwendet</w:t>
      </w:r>
      <w:r>
        <w:t xml:space="preserve"> </w:t>
      </w:r>
      <ns5:oMath>
        <ns5:r>
          <ns5:t>n</ns5:t>
        </ns5:r>
        <ns5:r>
          <ns5:rPr>
            <ns5:sty ns5:val="p"/>
          </ns5:rPr>
          <ns5:t>−</ns5:t>
        </ns5:r>
        <ns5:r>
          <ns5:t>1</ns5:t>
        </ns5:r>
      </ns5:oMath>
      <w:r>
        <w:t xml:space="preserve"> </w:t>
      </w:r>
      <w:r>
        <w:t xml:space="preserve">im Nenner:</w:t>
      </w:r>
    </w:p>
    <w:p>
      <w:pPr>
        <w:pStyle w:val="BodyText"/>
      </w:pPr>
      <ns5:oMathPara>
        <ns5:oMathParaPr>
          <ns5:jc ns5:val="center"/>
        </ns5:oMathParaPr>
        <ns5:oMath>
          <ns5:sSub>
            <ns5:e>
              <ns5:r>
                <ns5:t>s</ns5:t>
              </ns5:r>
            </ns5:e>
            <ns5:sub>
              <ns5:r>
                <ns5:t>x</ns5:t>
              </ns5:r>
              <ns5:r>
                <ns5:t>y</ns5:t>
              </ns5:r>
            </ns5:sub>
          </ns5:sSub>
          <ns5:r>
            <ns5:rPr>
              <ns5:sty ns5:val="p"/>
            </ns5:rPr>
            <ns5:t>=</ns5:t>
          </ns5:r>
          <ns5:f>
            <ns5:fPr>
              <ns5:type ns5:val="bar"/>
            </ns5:fPr>
            <ns5:num>
              <ns5:r>
                <ns5:t>1</ns5:t>
              </ns5:r>
            </ns5:num>
            <ns5:den>
              <ns5:r>
                <ns5:t>n</ns5:t>
              </ns5:r>
              <ns5:r>
                <ns5:rPr>
                  <ns5:sty ns5:val="p"/>
                </ns5:rPr>
                <ns5:t>−</ns5:t>
              </ns5:r>
              <ns5:r>
                <ns5:t>1</ns5:t>
              </ns5:r>
            </ns5:den>
          </ns5:f>
          <ns5:nary>
            <ns5:naryPr>
              <ns5:chr ns5:val="∑"/>
              <ns5:limLoc ns5:val="undOvr"/>
              <ns5:subHide ns5:val="off"/>
              <ns5:supHide ns5:val="off"/>
            </ns5:naryPr>
            <ns5:sub>
              <ns5:r>
                <ns5:t>i</ns5:t>
              </ns5:r>
              <ns5:r>
                <ns5:rPr>
                  <ns5:sty ns5:val="p"/>
                </ns5:rPr>
                <ns5:t>=</ns5:t>
              </ns5:r>
              <ns5:r>
                <ns5:t>1</ns5:t>
              </ns5:r>
            </ns5:sub>
            <ns5:sup>
              <ns5:r>
                <ns5:t>n</ns5:t>
              </ns5:r>
            </ns5: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nary>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oMath>
      </ns5:oMathPara>
    </w:p>
    <w:p>
      <w:pPr>
        <w:pStyle w:val="FirstParagraph"/>
      </w:pPr>
      <w:r>
        <w:t xml:space="preserve">Das Vorzeichen jedes Produkts zeigt, ob die beiden Abweichungen in dieselbe oder in entgegengesetzte Richtungen weisen. Grosse Abweichungen erhalten mehr Gewicht, weil ihr Produkt einen grösseren Betrag besitzt.</w:t>
      </w:r>
    </w:p>
    <w:p>
      <w:pPr>
        <w:pStyle w:val="BodyText"/>
      </w:pPr>
      <w:r>
        <w:t xml:space="preserve">Die Pearson-Stichprobenkorrelation teilt die Kovarianz durch das Produkt der beiden Stichprobenstandardabweichungen:</w:t>
      </w:r>
    </w:p>
    <w:p>
      <w:pPr>
        <w:pStyle w:val="BodyText"/>
      </w:pPr>
      <ns5:oMathPara>
        <ns5:oMathParaPr>
          <ns5:jc ns5:val="center"/>
        </ns5:oMathParaPr>
        <ns5:oMath>
          <ns5:sSub>
            <ns5:e>
              <ns5:r>
                <ns5:t>r</ns5:t>
              </ns5:r>
            </ns5:e>
            <ns5:sub>
              <ns5:r>
                <ns5:t>x</ns5:t>
              </ns5:r>
              <ns5:r>
                <ns5:t>y</ns5:t>
              </ns5:r>
            </ns5:sub>
          </ns5:sSub>
          <ns5:r>
            <ns5:rPr>
              <ns5:sty ns5:val="p"/>
            </ns5:rPr>
            <ns5:t>=</ns5:t>
          </ns5:r>
          <ns5:f>
            <ns5:fPr>
              <ns5:type ns5:val="bar"/>
            </ns5:fPr>
            <ns5:num>
              <ns5:sSub>
                <ns5:e>
                  <ns5:r>
                    <ns5:t>s</ns5:t>
                  </ns5:r>
                </ns5:e>
                <ns5:sub>
                  <ns5:r>
                    <ns5:t>x</ns5:t>
                  </ns5:r>
                  <ns5:r>
                    <ns5:t>y</ns5:t>
                  </ns5:r>
                </ns5:sub>
              </ns5:sSub>
            </ns5:num>
            <ns5:den>
              <ns5:sSub>
                <ns5:e>
                  <ns5:r>
                    <ns5:t>s</ns5:t>
                  </ns5:r>
                </ns5:e>
                <ns5:sub>
                  <ns5:r>
                    <ns5:t>x</ns5:t>
                  </ns5:r>
                </ns5:sub>
              </ns5:sSub>
              <ns5:sSub>
                <ns5:e>
                  <ns5:r>
                    <ns5:t>s</ns5:t>
                  </ns5:r>
                </ns5:e>
                <ns5:sub>
                  <ns5:r>
                    <ns5:t>y</ns5:t>
                  </ns5:r>
                </ns5:sub>
              </ns5:sSub>
            </ns5:den>
          </ns5:f>
        </ns5:oMath>
      </ns5:oMathPara>
    </w:p>
    <w:p>
      <w:pPr>
        <w:pStyle w:val="FirstParagraph"/>
      </w:pPr>
      <w:r>
        <w:t xml:space="preserve">Wenn korrigierte Summen vorliegen, kann derselbe Koeffizient direkt berechnet werden als</w:t>
      </w:r>
    </w:p>
    <w:p>
      <w:pPr>
        <w:pStyle w:val="BodyText"/>
      </w:pPr>
      <ns5:oMathPara>
        <ns5:oMathParaPr>
          <ns5:jc ns5:val="center"/>
        </ns5:oMathParaPr>
        <ns5:oMath>
          <ns5:sSub>
            <ns5:e>
              <ns5:r>
                <ns5:t>r</ns5:t>
              </ns5:r>
            </ns5:e>
            <ns5:sub>
              <ns5:r>
                <ns5:t>x</ns5:t>
              </ns5:r>
              <ns5:r>
                <ns5:t>y</ns5:t>
              </ns5:r>
            </ns5:sub>
          </ns5:sSub>
          <ns5:r>
            <ns5:rPr>
              <ns5:sty ns5:val="p"/>
            </ns5:rPr>
            <ns5:t>=</ns5:t>
          </ns5:r>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nary>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num>
            <ns5:den>
              <ns5:rad>
                <ns5:radPr>
                  <ns5:degHide ns5:val="on"/>
                </ns5:radPr>
                <ns5:deg/>
                <ns5:e>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e>
                        <ns5:sup>
                          <ns5:r>
                            <ns5:t>2</ns5:t>
                          </ns5:r>
                        </ns5:sup>
                      </ns5:sSup>
                    </ns5:e>
                  </ns5:nary>
                </ns5:e>
              </ns5:rad>
            </ns5:den>
          </ns5:f>
          <ns5:r>
            <ns5:rPr>
              <ns5:sty ns5:val="p"/>
            </ns5:rPr>
            <ns5:t>.</ns5:t>
          </ns5:r>
        </ns5:oMath>
      </ns5:oMathPara>
    </w:p>
    <w:p>
      <w:pPr>
        <w:pStyle w:val="FirstParagraph"/>
      </w:pPr>
      <w:r>
        <w:t xml:space="preserve">Beide Darstellungen benötigen in den beiden Variablen dieselben gepaarten Fälle. Wird eine Spalte unabhängig von ihrer Partnerin umgeordnet, werden die Paare zerstört und die Fragestellung verändert.</w:t>
      </w:r>
    </w:p>
    <w:p>
      <w:pPr>
        <w:pStyle w:val="BodyText"/>
      </w:pPr>
      <w:r>
        <w:t xml:space="preserve">Dieselbe Berechnung kann als Summe der Produkte standardisierter Werte geschrieben werden. Dadurch wird sichtbar, weshalb der Koeffizient einheitenlos ist:</w:t>
      </w:r>
    </w:p>
    <w:p>
      <w:pPr>
        <w:pStyle w:val="BodyText"/>
      </w:pPr>
      <ns5:oMathPara>
        <ns5:oMathParaPr>
          <ns5:jc ns5:val="center"/>
        </ns5:oMathParaPr>
        <ns5:oMath>
          <ns5:sSub>
            <ns5:e>
              <ns5:r>
                <ns5:t>r</ns5:t>
              </ns5:r>
            </ns5:e>
            <ns5:sub>
              <ns5:r>
                <ns5:t>x</ns5:t>
              </ns5:r>
              <ns5:r>
                <ns5:t>y</ns5:t>
              </ns5:r>
            </ns5:sub>
          </ns5:sSub>
          <ns5:r>
            <ns5:rPr>
              <ns5:sty ns5:val="p"/>
            </ns5:rPr>
            <ns5:t>=</ns5:t>
          </ns5:r>
          <ns5:f>
            <ns5:fPr>
              <ns5:type ns5:val="bar"/>
            </ns5:fPr>
            <ns5:num>
              <ns5:r>
                <ns5:t>1</ns5:t>
              </ns5:r>
            </ns5:num>
            <ns5:den>
              <ns5:r>
                <ns5:t>n</ns5:t>
              </ns5:r>
              <ns5:r>
                <ns5:rPr>
                  <ns5:sty ns5:val="p"/>
                </ns5:rPr>
                <ns5:t>−</ns5:t>
              </ns5:r>
              <ns5:r>
                <ns5:t>1</ns5:t>
              </ns5:r>
            </ns5:den>
          </ns5:f>
          <ns5:nary>
            <ns5:naryPr>
              <ns5:chr ns5:val="∑"/>
              <ns5:limLoc ns5:val="undOvr"/>
              <ns5:subHide ns5:val="off"/>
              <ns5:supHide ns5:val="off"/>
            </ns5:naryPr>
            <ns5:sub>
              <ns5:r>
                <ns5:t>i</ns5:t>
              </ns5:r>
              <ns5:r>
                <ns5:rPr>
                  <ns5:sty ns5:val="p"/>
                </ns5:rPr>
                <ns5:t>=</ns5:t>
              </ns5:r>
              <ns5:r>
                <ns5:t>1</ns5:t>
              </ns5:r>
            </ns5:sub>
            <ns5:sup>
              <ns5:r>
                <ns5:t>n</ns5:t>
              </ns5:r>
            </ns5:sup>
            <ns5:e>
              <ns5:sSub>
                <ns5:e>
                  <ns5:r>
                    <ns5:t>z</ns5:t>
                  </ns5:r>
                </ns5:e>
                <ns5:sub>
                  <ns5:r>
                    <ns5:t>x</ns5:t>
                  </ns5:r>
                  <ns5:r>
                    <ns5:t>i</ns5:t>
                  </ns5:r>
                </ns5:sub>
              </ns5:sSub>
            </ns5:e>
          </ns5:nary>
          <ns5:sSub>
            <ns5:e>
              <ns5:r>
                <ns5:t>z</ns5:t>
              </ns5:r>
            </ns5:e>
            <ns5:sub>
              <ns5:r>
                <ns5:t>y</ns5:t>
              </ns5:r>
              <ns5:r>
                <ns5:t>i</ns5:t>
              </ns5:r>
            </ns5:sub>
          </ns5:sSub>
        </ns5:oMath>
      </ns5:oMathPara>
    </w:p>
    <w:p>
      <w:pPr>
        <w:pStyle w:val="FirstParagraph"/>
      </w:pPr>
      <w:r>
        <w:t xml:space="preserve">In einer Stichprobe ohne verbundene Ränge kann die Spearman-Rangkorrelation aus der Differenz</w:t>
      </w:r>
      <w:r>
        <w:t xml:space="preserve"> </w:t>
      </w:r>
      <ns5:oMath>
        <ns5:sSub>
          <ns5:e>
            <ns5:r>
              <ns5:t>d</ns5:t>
            </ns5:r>
          </ns5:e>
          <ns5:sub>
            <ns5:r>
              <ns5:t>i</ns5:t>
            </ns5:r>
          </ns5:sub>
        </ns5:sSub>
      </ns5:oMath>
      <w:r>
        <w:t xml:space="preserve"> </w:t>
      </w:r>
      <w:r>
        <w:t xml:space="preserve">zwischen den beiden Rängen jedes Falles berechnet werden:</w:t>
      </w:r>
    </w:p>
    <w:p>
      <w:pPr>
        <w:pStyle w:val="BodyText"/>
      </w:pPr>
      <ns5:oMathPara>
        <ns5:oMathParaPr>
          <ns5:jc ns5:val="center"/>
        </ns5:oMathParaPr>
        <ns5:oMath>
          <ns5:sSub>
            <ns5:e>
              <ns5:r>
                <ns5:t>r</ns5:t>
              </ns5:r>
            </ns5:e>
            <ns5:sub>
              <ns5:r>
                <ns5:t>s</ns5:t>
              </ns5:r>
            </ns5:sub>
          </ns5:sSub>
          <ns5:r>
            <ns5:rPr>
              <ns5:sty ns5:val="p"/>
            </ns5:rPr>
            <ns5:t>=</ns5:t>
          </ns5:r>
          <ns5:r>
            <ns5:t>1</ns5:t>
          </ns5:r>
          <ns5:r>
            <ns5:rPr>
              <ns5:sty ns5:val="p"/>
            </ns5:rPr>
            <ns5:t>−</ns5:t>
          </ns5:r>
          <ns5:f>
            <ns5:fPr>
              <ns5:type ns5:val="bar"/>
            </ns5:fPr>
            <ns5:num>
              <ns5:r>
                <ns5:t>6</ns5:t>
              </ns5:r>
              <ns5:nary>
                <ns5:naryPr>
                  <ns5:chr ns5:val="∑"/>
                  <ns5:limLoc ns5:val="undOvr"/>
                  <ns5:subHide ns5:val="off"/>
                  <ns5:supHide ns5:val="off"/>
                </ns5:naryPr>
                <ns5:sub>
                  <ns5:r>
                    <ns5:t>i</ns5:t>
                  </ns5:r>
                  <ns5:r>
                    <ns5:rPr>
                      <ns5:sty ns5:val="p"/>
                    </ns5:rPr>
                    <ns5:t>=</ns5:t>
                  </ns5:r>
                  <ns5:r>
                    <ns5:t>1</ns5:t>
                  </ns5:r>
                </ns5:sub>
                <ns5:sup>
                  <ns5:r>
                    <ns5:t>n</ns5:t>
                  </ns5:r>
                </ns5:sup>
                <ns5:e>
                  <ns5:sSubSup>
                    <ns5:e>
                      <ns5:r>
                        <ns5:t>d</ns5:t>
                      </ns5:r>
                    </ns5:e>
                    <ns5:sub>
                      <ns5:r>
                        <ns5:t>i</ns5:t>
                      </ns5:r>
                    </ns5:sub>
                    <ns5:sup>
                      <ns5:r>
                        <ns5:t>2</ns5:t>
                      </ns5:r>
                    </ns5:sup>
                  </ns5:sSubSup>
                </ns5:e>
              </ns5:nary>
            </ns5:num>
            <ns5:den>
              <ns5:r>
                <ns5:t>n</ns5:t>
              </ns5:r>
              <ns5:d>
                <ns5:dPr>
                  <ns5:begChr ns5:val="("/>
                  <ns5:sepChr ns5:val=""/>
                  <ns5:endChr ns5:val=")"/>
                  <ns5:grow/>
                </ns5:dPr>
                <ns5:e>
                  <ns5:sSup>
                    <ns5:e>
                      <ns5:r>
                        <ns5:t>n</ns5:t>
                      </ns5:r>
                    </ns5:e>
                    <ns5:sup>
                      <ns5:r>
                        <ns5:t>2</ns5:t>
                      </ns5:r>
                    </ns5:sup>
                  </ns5:sSup>
                  <ns5:r>
                    <ns5:rPr>
                      <ns5:sty ns5:val="p"/>
                    </ns5:rPr>
                    <ns5:t>−</ns5:t>
                  </ns5:r>
                  <ns5:r>
                    <ns5:t>1</ns5:t>
                  </ns5:r>
                </ns5:e>
              </ns5:d>
            </ns5:den>
          </ns5:f>
        </ns5:oMath>
      </ns5:oMathPara>
    </w:p>
    <w:p>
      <w:pPr>
        <w:pStyle w:val="FirstParagraph"/>
      </w:pPr>
      <w:r>
        <w:t xml:space="preserve">Bei verbundenen Rängen berechnest du stattdessen die Pearson-Korrelation der zugewiesenen Ränge. In jeder Form muss der Koeffizient zusammen mit dem Streudiagramm oder Rangmuster gelesen werden, aus dem er entstanden ist.</w:t>
      </w:r>
    </w:p>
    <w:p>
      <w:pPr>
        <w:pStyle w:val="BodyText"/>
      </w:pPr>
      <w:r>
        <w:t xml:space="preserve">Um die Pearson-Korrelation der Grundgesamtheit gegen</w:t>
      </w:r>
      <w:r>
        <w:t xml:space="preserve"> </w:t>
      </w:r>
      <ns5:oMath>
        <ns5:sSub>
          <ns5:e>
            <ns5:r>
              <ns5:t>H</ns5:t>
            </ns5:r>
          </ns5:e>
          <ns5:sub>
            <ns5:r>
              <ns5:t>0</ns5:t>
            </ns5:r>
          </ns5:sub>
        </ns5:sSub>
        <ns5:r>
          <ns5:rPr>
            <ns5:sty ns5:val="p"/>
          </ns5:rPr>
          <ns5:t>:</ns5:t>
        </ns5:r>
        <ns5:r>
          <ns5:t>ρ</ns5:t>
        </ns5:r>
        <ns5:r>
          <ns5:rPr>
            <ns5:sty ns5:val="p"/>
          </ns5:rPr>
          <ns5:t>=</ns5:t>
        </ns5:r>
        <ns5:r>
          <ns5:t>0</ns5:t>
        </ns5:r>
      </ns5:oMath>
      <w:r>
        <w:t xml:space="preserve"> </w:t>
      </w:r>
      <w:r>
        <w:t xml:space="preserve">zu testen, wird</w:t>
      </w:r>
    </w:p>
    <w:p>
      <w:pPr>
        <w:pStyle w:val="BodyText"/>
      </w:pPr>
      <ns5:oMathPara>
        <ns5:oMathParaPr>
          <ns5:jc ns5:val="center"/>
        </ns5:oMathParaPr>
        <ns5:oMath>
          <ns5:r>
            <ns5:t>t</ns5:t>
          </ns5:r>
          <ns5:r>
            <ns5:rPr>
              <ns5:sty ns5:val="p"/>
            </ns5:rPr>
            <ns5:t>=</ns5:t>
          </ns5:r>
          <ns5:f>
            <ns5:fPr>
              <ns5:type ns5:val="bar"/>
            </ns5:fPr>
            <ns5:num>
              <ns5:r>
                <ns5:t>r</ns5:t>
              </ns5:r>
              <ns5:rad>
                <ns5:radPr>
                  <ns5:degHide ns5:val="on"/>
                </ns5:radPr>
                <ns5:deg/>
                <ns5:e>
                  <ns5:r>
                    <ns5:t>n</ns5:t>
                  </ns5:r>
                  <ns5:r>
                    <ns5:rPr>
                      <ns5:sty ns5:val="p"/>
                    </ns5:rPr>
                    <ns5:t>−</ns5:t>
                  </ns5:r>
                  <ns5:r>
                    <ns5:t>2</ns5:t>
                  </ns5:r>
                </ns5:e>
              </ns5:rad>
            </ns5:num>
            <ns5:den>
              <ns5:rad>
                <ns5:radPr>
                  <ns5:degHide ns5:val="on"/>
                </ns5:radPr>
                <ns5:deg/>
                <ns5:e>
                  <ns5:r>
                    <ns5:t>1</ns5:t>
                  </ns5:r>
                  <ns5:r>
                    <ns5:rPr>
                      <ns5:sty ns5:val="p"/>
                    </ns5:rPr>
                    <ns5:t>−</ns5:t>
                  </ns5:r>
                  <ns5:sSup>
                    <ns5:e>
                      <ns5:r>
                        <ns5:t>r</ns5:t>
                      </ns5:r>
                    </ns5:e>
                    <ns5:sup>
                      <ns5:r>
                        <ns5:t>2</ns5:t>
                      </ns5:r>
                    </ns5:sup>
                  </ns5:sSup>
                </ns5:e>
              </ns5:rad>
            </ns5:den>
          </ns5:f>
          <ns5:r>
            <ns5:rPr>
              <ns5:sty ns5:val="p"/>
            </ns5:rPr>
            <ns5:t>,</ns5:t>
          </ns5:r>
          <ns5:r>
            <ns5:t>  </ns5:t>
          </ns5:r>
          <ns5:r>
            <ns5:t>d</ns5:t>
          </ns5:r>
          <ns5:r>
            <ns5:t>f</ns5:t>
          </ns5:r>
          <ns5:r>
            <ns5:rPr>
              <ns5:sty ns5:val="p"/>
            </ns5:rPr>
            <ns5:t>=</ns5:t>
          </ns5:r>
          <ns5:r>
            <ns5:t>n</ns5:t>
          </ns5:r>
          <ns5:r>
            <ns5:rPr>
              <ns5:sty ns5:val="p"/>
            </ns5:rPr>
            <ns5:t>−</ns5:t>
          </ns5:r>
          <ns5:r>
            <ns5:t>2</ns5:t>
          </ns5:r>
          <ns5:r>
            <ns5:rPr>
              <ns5:sty ns5:val="p"/>
            </ns5:rPr>
            <ns5:t>.</ns5:t>
          </ns5:r>
        </ns5:oMath>
      </ns5:oMathPara>
    </w:p>
    <w:p>
      <w:pPr>
        <w:pStyle w:val="FirstParagraph"/>
      </w:pPr>
      <w:r>
        <w:t xml:space="preserve">Die Alternativhypothese bestimmt, ob die Referenzfläche einseitig oder zweiseitig ist. Die Berechnung setzt unabhängige gepaarte Fälle, einen Zusammenhang, für den eine lineare Pearson-Zusammenfassung vertretbar ist, sowie das Fehlen von Designproblemen oder einflussreichen Punkten voraus, welche die Interpretation ungültig machen würden.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857"/>
        <w:gridCol w:w="3429"/>
        <w:gridCol w:w="3238"/>
      </w:tblGrid>
      <w:tr>
        <w:trPr>
          <w:cantSplit/>
          <w:tblHeader w:val="on"/>
        </w:trPr>
        <w:tc>
          <w:tcPr>
            <w:tcW w:w="2857" w:type="dxa"/>
            <w:shd w:fill="EAF2F6"/>
            <w:vAlign w:val="center"/>
          </w:tcPr>
          <w:p>
            <w:pPr>
              <w:pStyle w:val="Compact"/>
              <w:keepLines/>
              <w:widowControl/>
              <w:spacing w:before="0" w:after="40" w:line="240" w:lineRule="auto"/>
              <w:jc w:val="left"/>
            </w:pPr>
            <w:r>
              <w:rPr>
                <w:b/>
                <w:color w:val="183B56"/>
                <w:sz w:val="20"/>
                <w:szCs w:val="20"/>
              </w:rPr>
              <w:t xml:space="preserve">Zu berichtendes Ergebnis</w:t>
            </w:r>
          </w:p>
        </w:tc>
        <w:tc>
          <w:tcPr>
            <w:tcW w:w="3429" w:type="dxa"/>
            <w:shd w:fill="EAF2F6"/>
            <w:vAlign w:val="center"/>
          </w:tcPr>
          <w:p>
            <w:pPr>
              <w:pStyle w:val="Compact"/>
              <w:keepLines/>
              <w:widowControl/>
              <w:spacing w:before="0" w:after="40" w:line="240" w:lineRule="auto"/>
              <w:jc w:val="left"/>
            </w:pPr>
            <w:r>
              <w:rPr>
                <w:b/>
                <w:color w:val="183B56"/>
                <w:sz w:val="20"/>
                <w:szCs w:val="20"/>
              </w:rPr>
              <w:t xml:space="preserve">Beantwortete Frage</w:t>
            </w:r>
          </w:p>
        </w:tc>
        <w:tc>
          <w:tcPr>
            <w:tcW w:w="3238" w:type="dxa"/>
            <w:shd w:fill="EAF2F6"/>
            <w:vAlign w:val="center"/>
          </w:tcPr>
          <w:p>
            <w:pPr>
              <w:pStyle w:val="Compact"/>
              <w:keepLines/>
              <w:widowControl/>
              <w:spacing w:before="0" w:after="40" w:line="240" w:lineRule="auto"/>
              <w:jc w:val="left"/>
            </w:pPr>
            <w:r>
              <w:rPr>
                <w:b/>
                <w:color w:val="183B56"/>
                <w:sz w:val="20"/>
                <w:szCs w:val="20"/>
              </w:rPr>
              <w:t xml:space="preserve">Was es allein nicht belegen kann</w:t>
            </w:r>
          </w:p>
        </w:tc>
      </w:tr>
      <w:tr>
        <w:trPr>
          <w:cantSplit/>
        </w:trPr>
        <w:tc>
          <w:tcPr>
            <w:tcW w:w="2857" w:type="dxa"/>
            <w:shd w:fill="F3F7F9"/>
            <w:vAlign w:val="top"/>
          </w:tcPr>
          <w:p>
            <w:pPr>
              <w:pStyle w:val="Compact"/>
              <w:keepLines/>
              <w:widowControl/>
              <w:spacing w:before="0" w:after="40" w:line="240" w:lineRule="auto"/>
              <w:jc w:val="left"/>
            </w:pPr>
            <w:r>
              <w:rPr>
                <w:sz w:val="20"/>
                <w:szCs w:val="20"/>
              </w:rPr>
              <w:t xml:space="preserve">Form des Streudiagramms</w:t>
            </w:r>
          </w:p>
        </w:tc>
        <w:tc>
          <w:tcPr>
            <w:tcW w:w="3429" w:type="dxa"/>
            <w:shd w:fill="F3F7F9"/>
            <w:vAlign w:val="top"/>
          </w:tcPr>
          <w:p>
            <w:pPr>
              <w:pStyle w:val="Compact"/>
              <w:keepLines/>
              <w:widowControl/>
              <w:spacing w:before="0" w:after="40" w:line="240" w:lineRule="auto"/>
              <w:jc w:val="left"/>
            </w:pPr>
            <w:r>
              <w:rPr>
                <w:sz w:val="20"/>
                <w:szCs w:val="20"/>
              </w:rPr>
              <w:t xml:space="preserve">Welches Muster, welche Gruppen, welcher Wertebereich und welche ungewöhnlichen Punkte sind sichtbar?</w:t>
            </w:r>
          </w:p>
        </w:tc>
        <w:tc>
          <w:tcPr>
            <w:tcW w:w="3238" w:type="dxa"/>
            <w:shd w:fill="F3F7F9"/>
            <w:vAlign w:val="top"/>
          </w:tcPr>
          <w:p>
            <w:pPr>
              <w:pStyle w:val="Compact"/>
              <w:keepLines/>
              <w:widowControl/>
              <w:spacing w:before="0" w:after="40" w:line="240" w:lineRule="auto"/>
              <w:jc w:val="left"/>
            </w:pPr>
            <w:r>
              <w:rPr>
                <w:sz w:val="20"/>
                <w:szCs w:val="20"/>
              </w:rPr>
              <w:t xml:space="preserve">Eine Aussage über die Grundgesamtheit</w:t>
            </w:r>
          </w:p>
        </w:tc>
      </w:tr>
      <w:tr>
        <w:trPr>
          <w:cantSplit/>
        </w:trPr>
        <w:tc>
          <w:tcPr>
            <w:tcW w:w="2857" w:type="dxa"/>
            <w:shd w:fill="FFFFFF"/>
            <w:vAlign w:val="top"/>
          </w:tcPr>
          <w:p>
            <w:pPr>
              <w:pStyle w:val="Compact"/>
              <w:keepLines/>
              <w:widowControl/>
              <w:spacing w:before="0" w:after="40" w:line="240" w:lineRule="auto"/>
              <w:jc w:val="left"/>
            </w:pPr>
            <ns5:oMath>
              <ns5:r>
                <ns5:t>r</ns5:t>
              </ns5:r>
            </ns5:oMath>
            <w:r>
              <w:rPr>
                <w:sz w:val="20"/>
                <w:szCs w:val="20"/>
              </w:rPr>
              <w:t xml:space="preserve"> </w:t>
            </w:r>
            <w:r>
              <w:rPr>
                <w:sz w:val="20"/>
                <w:szCs w:val="20"/>
              </w:rPr>
              <w:t xml:space="preserve">oder</w:t>
            </w:r>
            <w:r>
              <w:rPr>
                <w:sz w:val="20"/>
                <w:szCs w:val="20"/>
              </w:rPr>
              <w:t xml:space="preserve"> </w:t>
            </w:r>
            <ns5:oMath>
              <ns5:sSub>
                <ns5:e>
                  <ns5:r>
                    <ns5:t>r</ns5:t>
                  </ns5:r>
                </ns5:e>
                <ns5:sub>
                  <ns5:r>
                    <ns5:t>s</ns5:t>
                  </ns5:r>
                </ns5:sub>
              </ns5:sSub>
            </ns5:oMath>
          </w:p>
        </w:tc>
        <w:tc>
          <w:tcPr>
            <w:tcW w:w="3429" w:type="dxa"/>
            <w:shd w:fill="FFFFFF"/>
            <w:vAlign w:val="top"/>
          </w:tcPr>
          <w:p>
            <w:pPr>
              <w:pStyle w:val="Compact"/>
              <w:keepLines/>
              <w:widowControl/>
              <w:spacing w:before="0" w:after="40" w:line="240" w:lineRule="auto"/>
              <w:jc w:val="left"/>
            </w:pPr>
            <w:r>
              <w:rPr>
                <w:sz w:val="20"/>
                <w:szCs w:val="20"/>
              </w:rPr>
              <w:t xml:space="preserve">Welche Richtung und lineare oder monotone Stärke zeigt sich in der Stichprobe?</w:t>
            </w:r>
          </w:p>
        </w:tc>
        <w:tc>
          <w:tcPr>
            <w:tcW w:w="3238" w:type="dxa"/>
            <w:shd w:fill="FFFFFF"/>
            <w:vAlign w:val="top"/>
          </w:tcPr>
          <w:p>
            <w:pPr>
              <w:pStyle w:val="Compact"/>
              <w:keepLines/>
              <w:widowControl/>
              <w:spacing w:before="0" w:after="40" w:line="240" w:lineRule="auto"/>
              <w:jc w:val="left"/>
            </w:pPr>
            <w:r>
              <w:rPr>
                <w:sz w:val="20"/>
                <w:szCs w:val="20"/>
              </w:rPr>
              <w:t xml:space="preserve">Kausalität</w:t>
            </w:r>
          </w:p>
        </w:tc>
      </w:tr>
      <w:tr>
        <w:trPr>
          <w:cantSplit/>
        </w:trPr>
        <w:tc>
          <w:tcPr>
            <w:tcW w:w="2857" w:type="dxa"/>
            <w:shd w:fill="F3F7F9"/>
            <w:vAlign w:val="top"/>
          </w:tcPr>
          <w:p>
            <w:pPr>
              <w:pStyle w:val="Compact"/>
              <w:keepLines/>
              <w:widowControl/>
              <w:spacing w:before="0" w:after="40" w:line="240" w:lineRule="auto"/>
              <w:jc w:val="left"/>
            </w:pPr>
            <ns5:oMath>
              <ns5:r>
                <ns5:t>t</ns5:t>
              </ns5:r>
            </ns5:oMath>
            <w:r>
              <w:rPr>
                <w:sz w:val="20"/>
                <w:szCs w:val="20"/>
              </w:rPr>
              <w:t xml:space="preserve">,</w:t>
            </w:r>
            <w:r>
              <w:rPr>
                <w:sz w:val="20"/>
                <w:szCs w:val="20"/>
              </w:rPr>
              <w:t xml:space="preserve"> </w:t>
            </w:r>
            <ns5:oMath>
              <ns5:r>
                <ns5:t>d</ns5:t>
              </ns5:r>
              <ns5:r>
                <ns5:t>f</ns5:t>
              </ns5:r>
            </ns5:oMath>
            <w:r>
              <w:rPr>
                <w:sz w:val="20"/>
                <w:szCs w:val="20"/>
              </w:rPr>
              <w:t xml:space="preserve"> </w:t>
            </w:r>
            <w:r>
              <w:rPr>
                <w:sz w:val="20"/>
                <w:szCs w:val="20"/>
              </w:rPr>
              <w:t xml:space="preserve">und p-Wert</w:t>
            </w:r>
          </w:p>
        </w:tc>
        <w:tc>
          <w:tcPr>
            <w:tcW w:w="3429" w:type="dxa"/>
            <w:shd w:fill="F3F7F9"/>
            <w:vAlign w:val="top"/>
          </w:tcPr>
          <w:p>
            <w:pPr>
              <w:pStyle w:val="Compact"/>
              <w:keepLines/>
              <w:widowControl/>
              <w:spacing w:before="0" w:after="40" w:line="240" w:lineRule="auto"/>
              <w:jc w:val="left"/>
            </w:pPr>
            <w:r>
              <w:rPr>
                <w:sz w:val="20"/>
                <w:szCs w:val="20"/>
              </w:rPr>
              <w:t xml:space="preserve">Wie vereinbar ist der Pearson-Koeffizient der Stichprobe unter dem Modell mit</w:t>
            </w:r>
            <w:r>
              <w:rPr>
                <w:sz w:val="20"/>
                <w:szCs w:val="20"/>
              </w:rPr>
              <w:t xml:space="preserve"> </w:t>
            </w:r>
            <ns5:oMath>
              <ns5:r>
                <ns5:t>ρ</ns5:t>
              </ns5:r>
              <ns5:r>
                <ns5:rPr>
                  <ns5:sty ns5:val="p"/>
                </ns5:rPr>
                <ns5:t>=</ns5:t>
              </ns5:r>
              <ns5:r>
                <ns5:t>0</ns5:t>
              </ns5:r>
            </ns5:oMath>
            <w:r>
              <w:rPr>
                <w:sz w:val="20"/>
                <w:szCs w:val="20"/>
              </w:rPr>
              <w:t xml:space="preserve">?</w:t>
            </w:r>
          </w:p>
        </w:tc>
        <w:tc>
          <w:tcPr>
            <w:tcW w:w="3238" w:type="dxa"/>
            <w:shd w:fill="F3F7F9"/>
            <w:vAlign w:val="top"/>
          </w:tcPr>
          <w:p>
            <w:pPr>
              <w:pStyle w:val="Compact"/>
              <w:keepLines/>
              <w:widowControl/>
              <w:spacing w:before="0" w:after="40" w:line="240" w:lineRule="auto"/>
              <w:jc w:val="left"/>
            </w:pPr>
            <w:r>
              <w:rPr>
                <w:sz w:val="20"/>
                <w:szCs w:val="20"/>
              </w:rPr>
              <w:t xml:space="preserve">Praktische Bedeutung oder ein grosser Zusammenhang</w:t>
            </w:r>
          </w:p>
        </w:tc>
      </w:tr>
    </w:tbl>
    <w:bookmarkEnd w:id="30"/>
    <w:bookmarkStart w:id="35" w:name="die-erklärende-abbildung-lesen"/>
    <w:p>
      <w:pPr>
        <w:pStyle w:val="Heading2"/>
      </w:pPr>
      <w:r>
        <w:t xml:space="preserve">Die erklärende Abbildung lesen</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34" w:name="fig-summary-t04"/>
          <w:p>
            <w:pPr>
              <w:pStyle w:val="Compact"/>
              <w:keepNext/>
              <w:jc w:val="center"/>
            </w:pPr>
            <w:r>
              <w:drawing>
                <ns1:inline>
                  <ns1:extent cx="5561584" cy="3283344"/>
                  <ns1:effectExtent b="0" l="0" r="0" t="0"/>
                  <ns1:docPr descr="Zwei Streudiagramme vergleichen ein gekrümmtes monotones Muster mit einem U-förmigen Muster und geben über jedem Feld die Pearson- und Spearman-Korrelation an." title="Abbildung 1" id="32" name="Picture"/>
                  <ns2:graphic>
                    <ns2:graphicData uri="http://schemas.openxmlformats.org/drawingml/2006/picture">
                      <ns3:pic>
                        <ns3:nvPicPr>
                          <ns3:cNvPr descr="assets/topic-04-covariance-correlation-summary-figure-de.png" id="33" name="Picture"/>
                          <ns3:cNvPicPr>
                            <ns2:picLocks noChangeArrowheads="1" noChangeAspect="1"/>
                          </ns3:cNvPicPr>
                        </ns3:nvPicPr>
                        <ns3:blipFill>
                          <ns2:blip ns4:embed="rId31"/>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Abbildung 1: Zwei Streudiagramme vergleichen ein gekrümmtes monotones Muster mit einem U-förmigen Muster und geben über jedem Feld die Pearson- und Spearman-Korrelation an.</w:t>
            </w:r>
          </w:p>
          <w:bookmarkEnd w:id="34"/>
        </w:tc>
      </w:tr>
    </w:tbl>
    <w:p>
      <w:pPr>
        <w:pStyle w:val="BodyText"/>
      </w:pPr>
      <w:r>
        <w:t xml:space="preserve">Das linke Feld steigt über den gesamten beobachteten Bereich an. Der Anstieg ist gekrümmt und nicht geradlinig, doch die Reihenfolge ist sehr beständig: Grössere</w:t>
      </w:r>
      <w:r>
        <w:t xml:space="preserve"> </w:t>
      </w:r>
      <ns5:oMath>
        <ns5:r>
          <ns5:t>x</ns5:t>
        </ns5:r>
      </ns5:oMath>
      <w:r>
        <w:t xml:space="preserve">-Werte gehen fast immer mit grösseren</w:t>
      </w:r>
      <w:r>
        <w:t xml:space="preserve"> </w:t>
      </w:r>
      <ns5:oMath>
        <ns5:r>
          <ns5:t>y</ns5:t>
        </ns5:r>
      </ns5:oMath>
      <w:r>
        <w:t xml:space="preserve">-Werten einher. Die Spearman-Korrelation liegt deshalb nahe bei eins, weil die Ränge diese aufsteigende Reihenfolge bewahren. Auch die Pearson-Korrelation ist stark positiv, konzentriert sich aber weiterhin auf den gesamten geradlinigen Anteil des Musters. Die sichtbare Krümmung zeigt dir, dass eine geradlinige Zusammenfassung nicht jedes Merkmal erfasst.</w:t>
      </w:r>
    </w:p>
    <w:p>
      <w:pPr>
        <w:pStyle w:val="BodyText"/>
      </w:pPr>
      <w:r>
        <w:t xml:space="preserve">Das rechte Feld ist U-förmig. Von ganz links zur Mitte nimmt</w:t>
      </w:r>
      <w:r>
        <w:t xml:space="preserve"> </w:t>
      </w:r>
      <ns5:oMath>
        <ns5:r>
          <ns5:t>y</ns5:t>
        </ns5:r>
      </ns5:oMath>
      <w:r>
        <w:t xml:space="preserve"> </w:t>
      </w:r>
      <w:r>
        <w:t xml:space="preserve">ab, während</w:t>
      </w:r>
      <w:r>
        <w:t xml:space="preserve"> </w:t>
      </w:r>
      <ns5:oMath>
        <ns5:r>
          <ns5:t>x</ns5:t>
        </ns5:r>
      </ns5:oMath>
      <w:r>
        <w:t xml:space="preserve"> </w:t>
      </w:r>
      <w:r>
        <w:t xml:space="preserve">zunimmt. Von der Mitte nach ganz rechts nimmt</w:t>
      </w:r>
      <w:r>
        <w:t xml:space="preserve"> </w:t>
      </w:r>
      <ns5:oMath>
        <ns5:r>
          <ns5:t>y</ns5:t>
        </ns5:r>
      </ns5:oMath>
      <w:r>
        <w:t xml:space="preserve"> </w:t>
      </w:r>
      <w:r>
        <w:t xml:space="preserve">zu, während</w:t>
      </w:r>
      <w:r>
        <w:t xml:space="preserve"> </w:t>
      </w:r>
      <ns5:oMath>
        <ns5:r>
          <ns5:t>x</ns5:t>
        </ns5:r>
      </ns5:oMath>
      <w:r>
        <w:t xml:space="preserve"> </w:t>
      </w:r>
      <w:r>
        <w:t xml:space="preserve">zunimmt. Diese entgegengesetzten Richtungen heben sich sowohl bei der Pearson- als auch bei der Spearman-Berechnung auf und erzeugen Werte nahe null. Trotzdem besteht eine ausgeprägte Beziehung zwischen den Variablen. Die richtige Schlussfolgerung lautet nicht «kein Zusammenhang». Stattdessen fasst weder ein linearer noch ein monotoner Koeffizient diese Form gut zusammen.</w:t>
      </w:r>
    </w:p>
    <w:p>
      <w:pPr>
        <w:pStyle w:val="BodyText"/>
      </w:pPr>
      <w:r>
        <w:t xml:space="preserve">Die Verbindungslinien in der Abbildung helfen, die Reihenfolge der Punkte zu erkennen. Es handelt sich nicht um angepasste Regressionsgeraden. Die über den Feldern angegebenen Koeffizienten beschreiben die dargestellten simulierten Werte. Sie sind Lehrresultate und keine Schätzungen von realen Teilnehmenden. Das Beispiel erinnert daran, zuerst die Form in der Grafik zu bestimmen und danach einen Koeffizienten jenes Merkmal zusammenfassen zu lassen, für das er entwickelt wurde.</w:t>
      </w:r>
    </w:p>
    <w:bookmarkEnd w:id="35"/>
    <w:bookmarkStart w:id="36" w:name="checkliste-zur-interpretation"/>
    <w:p>
      <w:pPr>
        <w:pStyle w:val="Heading2"/>
      </w:pPr>
      <w:r>
        <w:t xml:space="preserve">Checkliste zur Interpretation</w:t>
      </w:r>
    </w:p>
    <w:p>
      <w:pPr>
        <w:pStyle w:val="FirstParagraph"/>
      </w:pPr>
      <w:r>
        <w:t xml:space="preserve">Bestätige, dass die Variablen numerisch sind oder dass eine rangbasierte Analyse angemessen ist. Prüfe, ob die Werte nach Fall gepaart sind. Untersuche vor der Berechnung eines Koeffizienten ein Streudiagramm. Beschreibe Richtung, Form, Stärke, Häufungen, Wertebereich und ungewöhnliche Punkte. Wähle die Pearson-Korrelation für eine inhaltlich sinnvolle lineare Zusammenfassung und die Spearman-Korrelation für eine monotone rangbasierte Zusammenfassung. Berichte Stichprobengrösse und Koeffizient. Ergänze ein Intervall oder einen Test, wenn eine Aussage über die Grundgesamtheit erforderlich ist.</w:t>
      </w:r>
    </w:p>
    <w:p>
      <w:pPr>
        <w:pStyle w:val="BodyText"/>
      </w:pPr>
      <w:r>
        <w:t xml:space="preserve">Verwende keine festen allgemeingültigen Grenzwerte, um einen Zusammenhang ohne Kontext als schwach, mittel oder stark zu bezeichnen. Die praktische Bedeutung eines Koeffizienten hängt von Messzuverlässigkeit, Fachgebiet, Design und Konsequenzen ab. Prüfe, wie sich das Ergebnis verändert, wenn ein einflussreicher Punkt oder eine inhaltlich bedeutsame Untergruppe untersucht wird. Entferne jedoch keine Fälle mit dem einzigen Ziel, den Koeffizienten zu verbessern. Vermeide kausale Verben, wenn das Design sie nicht stützt.</w:t>
      </w:r>
    </w:p>
    <w:bookmarkEnd w:id="36"/>
    <w:bookmarkStart w:id="37" w:name="verbindung-zu-anderen-themen"/>
    <w:p>
      <w:pPr>
        <w:pStyle w:val="Heading2"/>
      </w:pPr>
      <w:r>
        <w:t xml:space="preserve">Verbindung zu anderen Themen</w:t>
      </w:r>
    </w:p>
    <w:p>
      <w:pPr>
        <w:pStyle w:val="FirstParagraph"/>
      </w:pPr>
      <w:r>
        <w:t xml:space="preserve">Die Kovarianz bildet die Brücke von der deskriptiven Streuung zur Regression. In der einfachen linearen Regression kann die Steigung als Kovarianz zwischen Prädiktor und Zielvariable geteilt durch die Varianz des Prädiktors geschrieben werden. Die Korrelation standardisiert dieselbe gepaarte Tendenz. Die Regression behält dagegen die Einheit der Zielvariable und gibt an, wie stark sich ihr angepasster Wert bei einer Veränderung des Prädiktors um eine Einheit verändert.</w:t>
      </w:r>
    </w:p>
    <w:p>
      <w:pPr>
        <w:pStyle w:val="BodyText"/>
      </w:pPr>
      <w:r>
        <w:t xml:space="preserve">Die partielle Korrelation fragt später, wie zwei Variablen nach der linearen Bereinigung um eine dritte Variable zusammenhängen. Die multiple Regression erweitert dieselbe Logik, indem sie den bedingten Zusammenhang jedes Prädiktors schätzt, während die anderen konstant gehalten werden. Auch die Varianzanalyse gehört zu dieser Familie: Sie erklärt Variation in einer Zielvariable mithilfe der Gruppenzugehörigkeit, statt mit einem numerischen Prädiktor zu beginnen. Die gemeinsame Frage lautet, wie die Variation einer Zielvariable mit den Informationen eines oder mehrerer Prädiktoren zusammenpasst.</w:t>
      </w:r>
    </w:p>
    <w:p>
      <w:pPr>
        <w:pBdr>
          <w:bottom w:val="single" w:sz="4" w:space="6" w:color="B8C6CF"/>
        </w:pBdr>
        <w:spacing w:before="60" w:after="100"/>
      </w:pPr>
    </w:p>
    <w:p>
      <w:pPr>
        <w:pStyle w:val="FirstParagraph"/>
      </w:pPr>
      <w:r>
        <w:rPr>
          <w:i/>
          <w:iCs/>
        </w:rPr>
        <w:t xml:space="preserve">Dokument-ID:</w:t>
      </w:r>
      <w:r>
        <w:rPr>
          <w:i/>
          <w:iCs/>
        </w:rPr>
        <w:t xml:space="preserve"> </w:t>
      </w:r>
      <w:r>
        <w:rPr>
          <w:rStyle w:val="VerbatimChar"/>
          <w:i/>
          <w:iCs/>
        </w:rPr>
        <w:t xml:space="preserve">topic-04-covariance-correlation-summary-de</w:t>
      </w:r>
    </w:p>
    <w:p>
      <w:r>
        <w:br w:type="page"/>
      </w:r>
    </w:p>
    <w:p>
      <w:pPr>
        <w:pStyle w:val="Heading1"/>
      </w:pPr>
      <w:r>
        <w:t>Notizen 1 von 3</w:t>
      </w:r>
    </w:p>
    <w:p>
      <w:r>
        <w:rPr>
          <w:color w:val="526A79"/>
          <w:sz w:val="18"/>
          <w:szCs w:val="18"/>
        </w:rPr>
        <w:t>Kovarianz und Korrelation | Thema 4</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Notizen 2 von 3</w:t>
      </w:r>
    </w:p>
    <w:p>
      <w:r>
        <w:rPr>
          <w:color w:val="526A79"/>
          <w:sz w:val="18"/>
          <w:szCs w:val="18"/>
        </w:rPr>
        <w:t>Kovarianz und Korrelation | Thema 4</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Notizen 3 von 3</w:t>
      </w:r>
    </w:p>
    <w:p>
      <w:r>
        <w:rPr>
          <w:color w:val="526A79"/>
          <w:sz w:val="18"/>
          <w:szCs w:val="18"/>
        </w:rPr>
        <w:t>Kovarianz und Korrelation | Thema 4</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37"/>
    <w:bookmarkEnd w:id="38"/>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num w:numId="1000">
    <w:abstractNumId w:val="990"/>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de-CH" w:eastAsia="de-CH" w:bidi="de-CH"/>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de-CH"/>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Kovarianz und Korrelation</dc:title>
  <dc:creator>Ratiomera Statistics</dc:creator>
  <dc:language>de-CH</dc:language>
  <cp:keywords/>
  <dcterms:created xsi:type="dcterms:W3CDTF">1970-01-01T00:00:00Z</dcterms:created>
  <dcterms:modified xsi:type="dcterms:W3CDTF">1970-01-01T00:00:00Z</dcterms:modified>
  <dc:subject>Themenzusammenfassung von Ratiomera Statistics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Verstehen, wie zwei Variablen gemeinsam variieren</vt:lpwstr>
  </property>
  <property fmtid="{D5CDD505-2E9C-101B-9397-08002B2CF9AE}" pid="13" name="toc-title">
    <vt:lpwstr>Inhaltsverzeichnis</vt:lpwstr>
  </property>
</Properties>
</file>