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0.png" ContentType="image/png"/>
  <Override PartName="/word/media/rId46.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ns1="http://schemas.openxmlformats.org/drawingml/2006/wordprocessingDrawing" xmlns:ns2="http://schemas.openxmlformats.org/drawingml/2006/main" xmlns:ns3="http://schemas.openxmlformats.org/drawingml/2006/picture" xmlns:ns4="http://schemas.openxmlformats.org/officeDocument/2006/relationships" xmlns:ns5="http://schemas.openxmlformats.org/officeDocument/2006/math" xmlns:w="http://schemas.openxmlformats.org/wordprocessingml/2006/main">
  <w:body>
    <w:p>
      <w:pPr>
        <w:pStyle w:val="Title"/>
      </w:pPr>
      <w:r>
        <w:t xml:space="preserve">Descriptive Statistics</w:t>
      </w:r>
    </w:p>
    <w:p>
      <w:pPr>
        <w:pStyle w:val="Subtitle"/>
      </w:pPr>
      <w:r>
        <w:t xml:space="preserve">A warm guide to variables, distributions, and numerical summaries</w:t>
      </w:r>
    </w:p>
    <w:p>
      <w:pPr>
        <w:pStyle w:val="Author"/>
      </w:pPr>
      <w:r>
        <w:t xml:space="preserve">Ratiomera Statistics</w:t>
      </w:r>
    </w:p>
    <w:p>
      <w:r>
        <w:br w:type="page"/>
      </w:r>
    </w:p>
    <w:p>
      <w:pPr>
        <w:pStyle w:val="FirstParagraph"/>
      </w:pPr>
      <w:r>
        <w:drawing>
          <ns1:inline>
            <ns1:extent cx="1143000" cy="292100"/>
            <ns1:effectExtent b="0" l="0" r="0" t="0"/>
            <ns1:docPr descr="Ratiomera logo" title="Ratiomera logo" id="21" name="Picture"/>
            <ns2:graphic>
              <ns2:graphicData uri="http://schemas.openxmlformats.org/drawingml/2006/picture">
                <ns3:pic>
                  <ns3:nvPicPr>
                    <ns3:cNvPr descr="assets/en/ratiomera-summary-logo.png" id="22" name="Picture"/>
                    <ns3:cNvPicPr>
                      <ns2:picLocks noChangeArrowheads="1" noChangeAspect="1"/>
                    </ns3:cNvPicPr>
                  </ns3:nvPicPr>
                  <ns3:blipFill>
                    <ns2:blip ns4:embed="rId20"/>
                    <ns2:stretch>
                      <ns2:fillRect/>
                    </ns2:stretch>
                  </ns3:blipFill>
                  <ns3:spPr bwMode="auto">
                    <ns2:xfrm>
                      <ns2:off x="0" y="0"/>
                      <ns2:ext cx="1143000" cy="292100"/>
                    </ns2:xfrm>
                    <ns2:prstGeom prst="rect">
                      <ns2:avLst/>
                    </ns2:prstGeom>
                    <ns2:noFill/>
                    <ns2:ln w="9525">
                      <ns2:noFill/>
                      <ns2:headEnd/>
                      <ns2:tailEnd/>
                    </ns2:ln>
                  </ns3:spPr>
                </ns3:pic>
              </ns2:graphicData>
            </ns2:graphic>
          </ns1:inline>
        </w:drawing>
      </w:r>
      <w:r>
        <w:br/>
      </w:r>
      <w:r>
        <w:rPr>
          <w:b/>
          <w:bCs/>
        </w:rPr>
        <w:t xml:space="preserve">Introduction to Statistics | Topic 1</w:t>
      </w:r>
    </w:p>
    <w:bookmarkStart w:id="42" w:name="course-page-summary"/>
    <w:p>
      <w:pPr>
        <w:pStyle w:val="Heading1"/>
      </w:pPr>
      <w:r>
        <w:t xml:space="preserve">Course-Page Summary</w:t>
      </w:r>
    </w:p>
    <w:p>
      <w:pPr>
        <w:pStyle w:val="FirstParagraph"/>
      </w:pPr>
      <w:r>
        <w:t xml:space="preserve">Descriptive statistics connect measurement to analysis. Begin by identifying what each case, variable, and value represents, then use the measurement level to choose defensible frequencies, numerical summaries, and graphs. Center, spread, and shape must be interpreted together because none provides a complete description alone. These ideas support probability, inference, correlation, regression, and every later topic in this learning sequence.</w:t>
      </w:r>
    </w:p>
    <w:p>
      <w:pPr>
        <w:pBdr>
          <w:bottom w:val="single" w:sz="4" w:space="6" w:color="B8C6CF"/>
        </w:pBdr>
        <w:spacing w:before="60" w:after="100"/>
      </w:pPr>
    </w:p>
    <w:bookmarkStart w:id="24" w:name="notation-and-decision-checklist"/>
    <w:p>
      <w:pPr>
        <w:pStyle w:val="Heading2"/>
      </w:pPr>
      <w:r>
        <w:t xml:space="preserve">Notation and Decision Checklist</w:t>
      </w:r>
    </w:p>
    <w:bookmarkStart w:id="23" w:name="tbl-summary-notation"/>
    <w:p>
      <w:pPr>
        <w:pStyle w:val="TableCaption"/>
        <w:keepNext/>
        <w:keepLines/>
        <w:widowControl/>
        <w:spacing w:before="120" w:after="80"/>
        <w:jc w:val="left"/>
      </w:pPr>
      <w:r>
        <w:t xml:space="preserve">Table 1: Core notation used in descriptive statistics.</w:t>
      </w:r>
    </w:p>
    <w:tbl>
      <w:tblPr>
        <w:tblStyle w:val="RatiomeraTable"/>
        <w:tblW w:w="9524" w:type="dxa"/>
        <w:tblBorders>
          <w:top w:val="single" w:sz="6" w:space="0" w:color="9FB2BF"/>
          <w:left w:val="single" w:sz="4" w:space="0" w:color="D4DEE4"/>
          <w:bottom w:val="single" w:sz="6" w:space="0" w:color="9FB2BF"/>
          <w:right w:val="single" w:sz="4" w:space="0" w:color="D4DEE4"/>
          <w:insideH w:val="single" w:sz="4" w:space="0" w:color="D4DEE4"/>
          <w:insideV w:val="single" w:sz="4" w:space="0" w:color="D4DEE4"/>
        </w:tblBorders>
        <w:tblLayout w:val="fixed"/>
        <w:tblCellMar>
          <w:top w:w="70" w:type="dxa"/>
          <w:left w:w="110" w:type="dxa"/>
          <w:bottom w:w="70" w:type="dxa"/>
          <w:right w:w="110" w:type="dxa"/>
        </w:tblCellMar>
        <w:tblLook w:firstRow="1" w:lastRow="0" w:firstColumn="0" w:lastColumn="0" w:noHBand="0" w:noVBand="1" w:val="0220"/>
      </w:tblPr>
      <w:tblGrid>
        <w:gridCol w:w="2000"/>
        <w:gridCol w:w="3810"/>
        <w:gridCol w:w="3714"/>
      </w:tblGrid>
      <w:tr>
        <w:trPr>
          <w:cantSplit/>
          <w:tblHeader w:val="on"/>
        </w:trPr>
        <w:tc>
          <w:tcPr>
            <w:tcW w:w="2000" w:type="dxa"/>
            <w:shd w:fill="EAF2F6"/>
            <w:vAlign w:val="center"/>
          </w:tcPr>
          <w:p>
            <w:pPr>
              <w:pStyle w:val="Compact"/>
              <w:keepLines/>
              <w:widowControl/>
              <w:spacing w:before="0" w:after="40" w:line="240" w:lineRule="auto"/>
              <w:jc w:val="left"/>
            </w:pPr>
            <w:r>
              <w:rPr>
                <w:b/>
                <w:color w:val="183B56"/>
                <w:sz w:val="20"/>
                <w:szCs w:val="20"/>
              </w:rPr>
              <w:t xml:space="preserve">Symbol</w:t>
            </w:r>
          </w:p>
        </w:tc>
        <w:tc>
          <w:tcPr>
            <w:tcW w:w="3810" w:type="dxa"/>
            <w:shd w:fill="EAF2F6"/>
            <w:vAlign w:val="center"/>
          </w:tcPr>
          <w:p>
            <w:pPr>
              <w:pStyle w:val="Compact"/>
              <w:keepLines/>
              <w:widowControl/>
              <w:spacing w:before="0" w:after="40" w:line="240" w:lineRule="auto"/>
              <w:jc w:val="left"/>
            </w:pPr>
            <w:r>
              <w:rPr>
                <w:b/>
                <w:color w:val="183B56"/>
                <w:sz w:val="20"/>
                <w:szCs w:val="20"/>
              </w:rPr>
              <w:t xml:space="preserve">Meaning</w:t>
            </w:r>
          </w:p>
        </w:tc>
        <w:tc>
          <w:tcPr>
            <w:tcW w:w="3714" w:type="dxa"/>
            <w:shd w:fill="EAF2F6"/>
            <w:vAlign w:val="center"/>
          </w:tcPr>
          <w:p>
            <w:pPr>
              <w:pStyle w:val="Compact"/>
              <w:keepLines/>
              <w:widowControl/>
              <w:spacing w:before="0" w:after="40" w:line="240" w:lineRule="auto"/>
              <w:jc w:val="left"/>
            </w:pPr>
            <w:r>
              <w:rPr>
                <w:b/>
                <w:color w:val="183B56"/>
                <w:sz w:val="20"/>
                <w:szCs w:val="20"/>
              </w:rPr>
              <w:t xml:space="preserve">Question to ask</w:t>
            </w:r>
          </w:p>
        </w:tc>
      </w:tr>
      <w:tr>
        <w:trPr>
          <w:cantSplit/>
        </w:trPr>
        <w:tc>
          <w:tcPr>
            <w:tcW w:w="2000" w:type="dxa"/>
            <w:shd w:fill="F3F7F9"/>
            <w:vAlign w:val="top"/>
          </w:tcPr>
          <w:p>
            <w:pPr>
              <w:pStyle w:val="Compact"/>
              <w:keepLines/>
              <w:widowControl/>
              <w:spacing w:before="0" w:after="40" w:line="240" w:lineRule="auto"/>
              <w:jc w:val="center"/>
            </w:pPr>
            <ns5:oMath>
              <ns5:sSub>
                <ns5:e>
                  <ns5:r>
                    <ns5:t>x</ns5:t>
                  </ns5:r>
                </ns5:e>
                <ns5:sub>
                  <ns5:r>
                    <ns5:t>i</ns5:t>
                  </ns5:r>
                </ns5:sub>
              </ns5:sSub>
            </ns5:oMath>
          </w:p>
        </w:tc>
        <w:tc>
          <w:tcPr>
            <w:tcW w:w="3810" w:type="dxa"/>
            <w:shd w:fill="F3F7F9"/>
            <w:vAlign w:val="top"/>
          </w:tcPr>
          <w:p>
            <w:pPr>
              <w:pStyle w:val="Compact"/>
              <w:keepLines/>
              <w:widowControl/>
              <w:spacing w:before="0" w:after="40" w:line="240" w:lineRule="auto"/>
              <w:jc w:val="center"/>
            </w:pPr>
            <w:r>
              <w:rPr>
                <w:sz w:val="20"/>
                <w:szCs w:val="20"/>
              </w:rPr>
              <w:t xml:space="preserve">Value of observation</w:t>
            </w:r>
            <w:r>
              <w:rPr>
                <w:sz w:val="20"/>
                <w:szCs w:val="20"/>
              </w:rPr>
              <w:t xml:space="preserve"> </w:t>
            </w:r>
            <ns5:oMath>
              <ns5:r>
                <ns5:t>i</ns5:t>
              </ns5:r>
            </ns5:oMath>
          </w:p>
        </w:tc>
        <w:tc>
          <w:tcPr>
            <w:tcW w:w="3714" w:type="dxa"/>
            <w:shd w:fill="F3F7F9"/>
            <w:vAlign w:val="top"/>
          </w:tcPr>
          <w:p>
            <w:pPr>
              <w:pStyle w:val="Compact"/>
              <w:keepLines/>
              <w:widowControl/>
              <w:spacing w:before="0" w:after="40" w:line="240" w:lineRule="auto"/>
              <w:jc w:val="center"/>
            </w:pPr>
            <w:r>
              <w:rPr>
                <w:sz w:val="20"/>
                <w:szCs w:val="20"/>
              </w:rPr>
              <w:t xml:space="preserve">What does one recorded value represent?</w:t>
            </w:r>
          </w:p>
        </w:tc>
      </w:tr>
      <w:tr>
        <w:trPr>
          <w:cantSplit/>
        </w:trPr>
        <w:tc>
          <w:tcPr>
            <w:tcW w:w="2000" w:type="dxa"/>
            <w:shd w:fill="FFFFFF"/>
            <w:vAlign w:val="top"/>
          </w:tcPr>
          <w:p>
            <w:pPr>
              <w:pStyle w:val="Compact"/>
              <w:keepLines/>
              <w:widowControl/>
              <w:spacing w:before="0" w:after="40" w:line="240" w:lineRule="auto"/>
              <w:jc w:val="center"/>
            </w:pPr>
            <ns5:oMath>
              <ns5:r>
                <ns5:t>n</ns5:t>
              </ns5:r>
            </ns5:oMath>
            <w:r>
              <w:rPr>
                <w:sz w:val="20"/>
                <w:szCs w:val="20"/>
              </w:rPr>
              <w:t xml:space="preserve"> </w:t>
            </w:r>
            <w:r>
              <w:rPr>
                <w:sz w:val="20"/>
                <w:szCs w:val="20"/>
              </w:rPr>
              <w:t xml:space="preserve">and</w:t>
            </w:r>
            <w:r>
              <w:rPr>
                <w:sz w:val="20"/>
                <w:szCs w:val="20"/>
              </w:rPr>
              <w:t xml:space="preserve"> </w:t>
            </w:r>
            <ns5:oMath>
              <ns5:r>
                <ns5:t>N</ns5:t>
              </ns5:r>
            </ns5:oMath>
          </w:p>
        </w:tc>
        <w:tc>
          <w:tcPr>
            <w:tcW w:w="3810" w:type="dxa"/>
            <w:shd w:fill="FFFFFF"/>
            <w:vAlign w:val="top"/>
          </w:tcPr>
          <w:p>
            <w:pPr>
              <w:pStyle w:val="Compact"/>
              <w:keepLines/>
              <w:widowControl/>
              <w:spacing w:before="0" w:after="40" w:line="240" w:lineRule="auto"/>
              <w:jc w:val="center"/>
            </w:pPr>
            <w:r>
              <w:rPr>
                <w:sz w:val="20"/>
                <w:szCs w:val="20"/>
              </w:rPr>
              <w:t xml:space="preserve">Sample size and population size</w:t>
            </w:r>
          </w:p>
        </w:tc>
        <w:tc>
          <w:tcPr>
            <w:tcW w:w="3714" w:type="dxa"/>
            <w:shd w:fill="FFFFFF"/>
            <w:vAlign w:val="top"/>
          </w:tcPr>
          <w:p>
            <w:pPr>
              <w:pStyle w:val="Compact"/>
              <w:keepLines/>
              <w:widowControl/>
              <w:spacing w:before="0" w:after="40" w:line="240" w:lineRule="auto"/>
              <w:jc w:val="center"/>
            </w:pPr>
            <w:r>
              <w:rPr>
                <w:sz w:val="20"/>
                <w:szCs w:val="20"/>
              </w:rPr>
              <w:t xml:space="preserve">Am I describing a sample or the complete population?</w:t>
            </w:r>
          </w:p>
        </w:tc>
      </w:tr>
      <w:tr>
        <w:trPr>
          <w:cantSplit/>
        </w:trPr>
        <w:tc>
          <w:tcPr>
            <w:tcW w:w="2000" w:type="dxa"/>
            <w:shd w:fill="F3F7F9"/>
            <w:vAlign w:val="top"/>
          </w:tcPr>
          <w:p>
            <w:pPr>
              <w:pStyle w:val="Compact"/>
              <w:keepLines/>
              <w:widowControl/>
              <w:spacing w:before="0" w:after="40" w:line="240" w:lineRule="auto"/>
              <w:jc w:val="center"/>
            </w:pPr>
            <ns5:oMath>
              <ns5:acc>
                <ns5:accPr>
                  <ns5:chr ns5:val="‾"/>
                </ns5:accPr>
                <ns5:e>
                  <ns5:r>
                    <ns5:t>x</ns5:t>
                  </ns5:r>
                </ns5:e>
              </ns5:acc>
            </ns5:oMath>
            <w:r>
              <w:rPr>
                <w:sz w:val="20"/>
                <w:szCs w:val="20"/>
              </w:rPr>
              <w:t xml:space="preserve"> </w:t>
            </w:r>
            <w:r>
              <w:rPr>
                <w:sz w:val="20"/>
                <w:szCs w:val="20"/>
              </w:rPr>
              <w:t xml:space="preserve">and</w:t>
            </w:r>
            <w:r>
              <w:rPr>
                <w:sz w:val="20"/>
                <w:szCs w:val="20"/>
              </w:rPr>
              <w:t xml:space="preserve"> </w:t>
            </w:r>
            <ns5:oMath>
              <ns5:r>
                <ns5:t>μ</ns5:t>
              </ns5:r>
            </ns5:oMath>
          </w:p>
        </w:tc>
        <w:tc>
          <w:tcPr>
            <w:tcW w:w="3810" w:type="dxa"/>
            <w:shd w:fill="F3F7F9"/>
            <w:vAlign w:val="top"/>
          </w:tcPr>
          <w:p>
            <w:pPr>
              <w:pStyle w:val="Compact"/>
              <w:keepLines/>
              <w:widowControl/>
              <w:spacing w:before="0" w:after="40" w:line="240" w:lineRule="auto"/>
              <w:jc w:val="center"/>
            </w:pPr>
            <w:r>
              <w:rPr>
                <w:sz w:val="20"/>
                <w:szCs w:val="20"/>
              </w:rPr>
              <w:t xml:space="preserve">Sample mean and population mean</w:t>
            </w:r>
          </w:p>
        </w:tc>
        <w:tc>
          <w:tcPr>
            <w:tcW w:w="3714" w:type="dxa"/>
            <w:shd w:fill="F3F7F9"/>
            <w:vAlign w:val="top"/>
          </w:tcPr>
          <w:p>
            <w:pPr>
              <w:pStyle w:val="Compact"/>
              <w:keepLines/>
              <w:widowControl/>
              <w:spacing w:before="0" w:after="40" w:line="240" w:lineRule="auto"/>
              <w:jc w:val="center"/>
            </w:pPr>
            <w:r>
              <w:rPr>
                <w:sz w:val="20"/>
                <w:szCs w:val="20"/>
              </w:rPr>
              <w:t xml:space="preserve">Is the symbol consistent with the target?</w:t>
            </w:r>
          </w:p>
        </w:tc>
      </w:tr>
      <w:tr>
        <w:trPr>
          <w:cantSplit/>
        </w:trPr>
        <w:tc>
          <w:tcPr>
            <w:tcW w:w="2000" w:type="dxa"/>
            <w:shd w:fill="FFFFFF"/>
            <w:vAlign w:val="top"/>
          </w:tcPr>
          <w:p>
            <w:pPr>
              <w:pStyle w:val="Compact"/>
              <w:keepLines/>
              <w:widowControl/>
              <w:spacing w:before="0" w:after="40" w:line="240" w:lineRule="auto"/>
              <w:jc w:val="center"/>
            </w:pPr>
            <ns5:oMath>
              <ns5:sSup>
                <ns5:e>
                  <ns5:r>
                    <ns5:t>s</ns5:t>
                  </ns5:r>
                </ns5:e>
                <ns5:sup>
                  <ns5:r>
                    <ns5:t>2</ns5:t>
                  </ns5:r>
                </ns5:sup>
              </ns5:sSup>
            </ns5:oMath>
            <w:r>
              <w:rPr>
                <w:sz w:val="20"/>
                <w:szCs w:val="20"/>
              </w:rPr>
              <w:t xml:space="preserve"> </w:t>
            </w:r>
            <w:r>
              <w:rPr>
                <w:sz w:val="20"/>
                <w:szCs w:val="20"/>
              </w:rPr>
              <w:t xml:space="preserve">and</w:t>
            </w:r>
            <w:r>
              <w:rPr>
                <w:sz w:val="20"/>
                <w:szCs w:val="20"/>
              </w:rPr>
              <w:t xml:space="preserve"> </w:t>
            </w:r>
            <ns5:oMath>
              <ns5:sSup>
                <ns5:e>
                  <ns5:r>
                    <ns5:t>σ</ns5:t>
                  </ns5:r>
                </ns5:e>
                <ns5:sup>
                  <ns5:r>
                    <ns5:t>2</ns5:t>
                  </ns5:r>
                </ns5:sup>
              </ns5:sSup>
            </ns5:oMath>
          </w:p>
        </w:tc>
        <w:tc>
          <w:tcPr>
            <w:tcW w:w="3810" w:type="dxa"/>
            <w:shd w:fill="FFFFFF"/>
            <w:vAlign w:val="top"/>
          </w:tcPr>
          <w:p>
            <w:pPr>
              <w:pStyle w:val="Compact"/>
              <w:keepLines/>
              <w:widowControl/>
              <w:spacing w:before="0" w:after="40" w:line="240" w:lineRule="auto"/>
              <w:jc w:val="center"/>
            </w:pPr>
            <w:r>
              <w:rPr>
                <w:sz w:val="20"/>
                <w:szCs w:val="20"/>
              </w:rPr>
              <w:t xml:space="preserve">Sample variance and population variance</w:t>
            </w:r>
          </w:p>
        </w:tc>
        <w:tc>
          <w:tcPr>
            <w:tcW w:w="3714" w:type="dxa"/>
            <w:shd w:fill="FFFFFF"/>
            <w:vAlign w:val="top"/>
          </w:tcPr>
          <w:p>
            <w:pPr>
              <w:pStyle w:val="Compact"/>
              <w:keepLines/>
              <w:widowControl/>
              <w:spacing w:before="0" w:after="40" w:line="240" w:lineRule="auto"/>
              <w:jc w:val="center"/>
            </w:pPr>
            <w:r>
              <w:rPr>
                <w:sz w:val="20"/>
                <w:szCs w:val="20"/>
              </w:rPr>
              <w:t xml:space="preserve">Does the denominator match the target?</w:t>
            </w:r>
          </w:p>
        </w:tc>
      </w:tr>
      <w:tr>
        <w:trPr>
          <w:cantSplit/>
        </w:trPr>
        <w:tc>
          <w:tcPr>
            <w:tcW w:w="2000" w:type="dxa"/>
            <w:shd w:fill="F3F7F9"/>
            <w:vAlign w:val="top"/>
          </w:tcPr>
          <w:p>
            <w:pPr>
              <w:pStyle w:val="Compact"/>
              <w:keepLines/>
              <w:widowControl/>
              <w:spacing w:before="0" w:after="40" w:line="240" w:lineRule="auto"/>
              <w:jc w:val="center"/>
            </w:pPr>
            <ns5:oMath>
              <ns5:r>
                <ns5:t>s</ns5:t>
              </ns5:r>
            </ns5:oMath>
            <w:r>
              <w:rPr>
                <w:sz w:val="20"/>
                <w:szCs w:val="20"/>
              </w:rPr>
              <w:t xml:space="preserve"> </w:t>
            </w:r>
            <w:r>
              <w:rPr>
                <w:sz w:val="20"/>
                <w:szCs w:val="20"/>
              </w:rPr>
              <w:t xml:space="preserve">and</w:t>
            </w:r>
            <w:r>
              <w:rPr>
                <w:sz w:val="20"/>
                <w:szCs w:val="20"/>
              </w:rPr>
              <w:t xml:space="preserve"> </w:t>
            </w:r>
            <ns5:oMath>
              <ns5:r>
                <ns5:t>σ</ns5:t>
              </ns5:r>
            </ns5:oMath>
          </w:p>
        </w:tc>
        <w:tc>
          <w:tcPr>
            <w:tcW w:w="3810" w:type="dxa"/>
            <w:shd w:fill="F3F7F9"/>
            <w:vAlign w:val="top"/>
          </w:tcPr>
          <w:p>
            <w:pPr>
              <w:pStyle w:val="Compact"/>
              <w:keepLines/>
              <w:widowControl/>
              <w:spacing w:before="0" w:after="40" w:line="240" w:lineRule="auto"/>
              <w:jc w:val="center"/>
            </w:pPr>
            <w:r>
              <w:rPr>
                <w:sz w:val="20"/>
                <w:szCs w:val="20"/>
              </w:rPr>
              <w:t xml:space="preserve">Sample SD and population SD</w:t>
            </w:r>
          </w:p>
        </w:tc>
        <w:tc>
          <w:tcPr>
            <w:tcW w:w="3714" w:type="dxa"/>
            <w:shd w:fill="F3F7F9"/>
            <w:vAlign w:val="top"/>
          </w:tcPr>
          <w:p>
            <w:pPr>
              <w:pStyle w:val="Compact"/>
              <w:keepLines/>
              <w:widowControl/>
              <w:spacing w:before="0" w:after="40" w:line="240" w:lineRule="auto"/>
              <w:jc w:val="center"/>
            </w:pPr>
            <w:r>
              <w:rPr>
                <w:sz w:val="20"/>
                <w:szCs w:val="20"/>
              </w:rPr>
              <w:t xml:space="preserve">What is the original measurement unit?</w:t>
            </w:r>
          </w:p>
        </w:tc>
      </w:tr>
      <w:tr>
        <w:trPr>
          <w:cantSplit/>
        </w:trPr>
        <w:tc>
          <w:tcPr>
            <w:tcW w:w="2000" w:type="dxa"/>
            <w:shd w:fill="FFFFFF"/>
            <w:vAlign w:val="top"/>
          </w:tcPr>
          <w:p>
            <w:pPr>
              <w:pStyle w:val="Compact"/>
              <w:keepLines/>
              <w:widowControl/>
              <w:spacing w:before="0" w:after="40" w:line="240" w:lineRule="auto"/>
              <w:jc w:val="center"/>
            </w:pPr>
            <ns5:oMath>
              <ns5:r>
                <ns5:rPr>
                  <ns5:sty ns5:val="p"/>
                </ns5:rPr>
                <ns5:t>∑</ns5:t>
              </ns5:r>
            </ns5:oMath>
          </w:p>
        </w:tc>
        <w:tc>
          <w:tcPr>
            <w:tcW w:w="3810" w:type="dxa"/>
            <w:shd w:fill="FFFFFF"/>
            <w:vAlign w:val="top"/>
          </w:tcPr>
          <w:p>
            <w:pPr>
              <w:pStyle w:val="Compact"/>
              <w:keepLines/>
              <w:widowControl/>
              <w:spacing w:before="0" w:after="40" w:line="240" w:lineRule="auto"/>
              <w:jc w:val="center"/>
            </w:pPr>
            <w:r>
              <w:rPr>
                <w:sz w:val="20"/>
                <w:szCs w:val="20"/>
              </w:rPr>
              <w:t xml:space="preserve">Add the stated expression across its index range</w:t>
            </w:r>
          </w:p>
        </w:tc>
        <w:tc>
          <w:tcPr>
            <w:tcW w:w="3714" w:type="dxa"/>
            <w:shd w:fill="FFFFFF"/>
            <w:vAlign w:val="top"/>
          </w:tcPr>
          <w:p>
            <w:pPr>
              <w:pStyle w:val="Compact"/>
              <w:keepLines/>
              <w:widowControl/>
              <w:spacing w:before="0" w:after="40" w:line="240" w:lineRule="auto"/>
              <w:jc w:val="center"/>
            </w:pPr>
            <w:r>
              <w:rPr>
                <w:sz w:val="20"/>
                <w:szCs w:val="20"/>
              </w:rPr>
              <w:t xml:space="preserve">What is the summand, and what are the bounds?</w:t>
            </w:r>
          </w:p>
        </w:tc>
      </w:tr>
    </w:tbl>
    <w:bookmarkEnd w:id="23"/>
    <w:p/>
    <w:p>
      <w:pPr>
        <w:pStyle w:val="BodyText"/>
      </w:pPr>
      <w:r>
        <w:t xml:space="preserve">Before reporting a result, identify the cases and variables, inspect missing or impossible values, determine the measurement level, examine the distribution, select a compatible center and spread, and state what the summaries cannot establish about the population or causality.</w:t>
      </w:r>
    </w:p>
    <w:p>
      <w:pPr>
        <w:pBdr>
          <w:bottom w:val="single" w:sz="4" w:space="6" w:color="B8C6CF"/>
        </w:pBdr>
        <w:spacing w:before="60" w:after="100"/>
      </w:pPr>
    </w:p>
    <w:bookmarkEnd w:id="24"/>
    <w:bookmarkStart w:id="26" w:name="levels-of-measurement"/>
    <w:p>
      <w:pPr>
        <w:pStyle w:val="Heading2"/>
      </w:pPr>
      <w:r>
        <w:t xml:space="preserve">Levels of Measurement</w:t>
      </w:r>
    </w:p>
    <w:p>
      <w:pPr>
        <w:pStyle w:val="FirstParagraph"/>
      </w:pPr>
      <w:r>
        <w:t xml:space="preserve">Five scale levels determine which operations and summaries are valid. Each level adds properties to the one above it.</w:t>
      </w:r>
    </w:p>
    <w:bookmarkStart w:id="25" w:name="tbl-summary-measurement-levels"/>
    <w:p>
      <w:pPr>
        <w:pStyle w:val="TableCaption"/>
        <w:keepNext/>
        <w:keepLines/>
        <w:widowControl/>
        <w:spacing w:before="120" w:after="80"/>
        <w:jc w:val="left"/>
      </w:pPr>
      <w:r>
        <w:t xml:space="preserve">Table 2: Measurement properties, admissible transformations, and core summaries.</w:t>
      </w:r>
    </w:p>
    <w:tbl>
      <w:tblPr>
        <w:tblStyle w:val="RatiomeraTable"/>
        <w:tblW w:w="9524" w:type="dxa"/>
        <w:tblBorders>
          <w:top w:val="single" w:sz="6" w:space="0" w:color="9FB2BF"/>
          <w:left w:val="single" w:sz="4" w:space="0" w:color="D4DEE4"/>
          <w:bottom w:val="single" w:sz="6" w:space="0" w:color="9FB2BF"/>
          <w:right w:val="single" w:sz="4" w:space="0" w:color="D4DEE4"/>
          <w:insideH w:val="single" w:sz="4" w:space="0" w:color="D4DEE4"/>
          <w:insideV w:val="single" w:sz="4" w:space="0" w:color="D4DEE4"/>
        </w:tblBorders>
        <w:tblLayout w:val="fixed"/>
        <w:tblCellMar>
          <w:top w:w="70" w:type="dxa"/>
          <w:left w:w="110" w:type="dxa"/>
          <w:bottom w:w="70" w:type="dxa"/>
          <w:right w:w="110" w:type="dxa"/>
        </w:tblCellMar>
        <w:tblLook w:firstRow="1" w:lastRow="0" w:firstColumn="0" w:lastColumn="0" w:noHBand="0" w:noVBand="1" w:val="0220"/>
      </w:tblPr>
      <w:tblGrid>
        <w:gridCol w:w="1524"/>
        <w:gridCol w:w="2667"/>
        <w:gridCol w:w="2476"/>
        <w:gridCol w:w="2857"/>
      </w:tblGrid>
      <w:tr>
        <w:trPr>
          <w:cantSplit/>
          <w:tblHeader w:val="on"/>
        </w:trPr>
        <w:tc>
          <w:tcPr>
            <w:tcW w:w="1524" w:type="dxa"/>
            <w:shd w:fill="EAF2F6"/>
            <w:vAlign w:val="center"/>
          </w:tcPr>
          <w:p>
            <w:pPr>
              <w:pStyle w:val="Compact"/>
              <w:keepLines/>
              <w:widowControl/>
              <w:spacing w:before="0" w:after="40" w:line="240" w:lineRule="auto"/>
              <w:jc w:val="left"/>
            </w:pPr>
            <w:r>
              <w:rPr>
                <w:b/>
                <w:color w:val="183B56"/>
                <w:sz w:val="20"/>
                <w:szCs w:val="20"/>
              </w:rPr>
              <w:t xml:space="preserve">Scale</w:t>
            </w:r>
          </w:p>
        </w:tc>
        <w:tc>
          <w:tcPr>
            <w:tcW w:w="2667" w:type="dxa"/>
            <w:shd w:fill="EAF2F6"/>
            <w:vAlign w:val="center"/>
          </w:tcPr>
          <w:p>
            <w:pPr>
              <w:pStyle w:val="Compact"/>
              <w:keepLines/>
              <w:widowControl/>
              <w:spacing w:before="0" w:after="40" w:line="240" w:lineRule="auto"/>
              <w:jc w:val="left"/>
            </w:pPr>
            <w:r>
              <w:rPr>
                <w:b/>
                <w:color w:val="183B56"/>
                <w:sz w:val="20"/>
                <w:szCs w:val="20"/>
              </w:rPr>
              <w:t xml:space="preserve">Defining property</w:t>
            </w:r>
          </w:p>
        </w:tc>
        <w:tc>
          <w:tcPr>
            <w:tcW w:w="2476" w:type="dxa"/>
            <w:shd w:fill="EAF2F6"/>
            <w:vAlign w:val="center"/>
          </w:tcPr>
          <w:p>
            <w:pPr>
              <w:pStyle w:val="Compact"/>
              <w:keepLines/>
              <w:widowControl/>
              <w:spacing w:before="0" w:after="40" w:line="240" w:lineRule="auto"/>
              <w:jc w:val="left"/>
            </w:pPr>
            <w:r>
              <w:rPr>
                <w:b/>
                <w:color w:val="183B56"/>
                <w:sz w:val="20"/>
                <w:szCs w:val="20"/>
              </w:rPr>
              <w:t xml:space="preserve">Admissible recoding</w:t>
            </w:r>
          </w:p>
        </w:tc>
        <w:tc>
          <w:tcPr>
            <w:tcW w:w="2857" w:type="dxa"/>
            <w:shd w:fill="EAF2F6"/>
            <w:vAlign w:val="center"/>
          </w:tcPr>
          <w:p>
            <w:pPr>
              <w:pStyle w:val="Compact"/>
              <w:keepLines/>
              <w:widowControl/>
              <w:spacing w:before="0" w:after="40" w:line="240" w:lineRule="auto"/>
              <w:jc w:val="left"/>
            </w:pPr>
            <w:r>
              <w:rPr>
                <w:b/>
                <w:color w:val="183B56"/>
                <w:sz w:val="20"/>
                <w:szCs w:val="20"/>
              </w:rPr>
              <w:t xml:space="preserve">Core summaries</w:t>
            </w:r>
          </w:p>
        </w:tc>
      </w:tr>
      <w:tr>
        <w:trPr>
          <w:cantSplit/>
        </w:trPr>
        <w:tc>
          <w:tcPr>
            <w:tcW w:w="1524" w:type="dxa"/>
            <w:shd w:fill="F3F7F9"/>
            <w:vAlign w:val="top"/>
          </w:tcPr>
          <w:p>
            <w:pPr>
              <w:pStyle w:val="Compact"/>
              <w:keepLines/>
              <w:widowControl/>
              <w:spacing w:before="0" w:after="40" w:line="240" w:lineRule="auto"/>
              <w:jc w:val="center"/>
            </w:pPr>
            <w:r>
              <w:rPr>
                <w:sz w:val="20"/>
                <w:szCs w:val="20"/>
              </w:rPr>
              <w:t xml:space="preserve">Nominal</w:t>
            </w:r>
          </w:p>
        </w:tc>
        <w:tc>
          <w:tcPr>
            <w:tcW w:w="2667" w:type="dxa"/>
            <w:shd w:fill="F3F7F9"/>
            <w:vAlign w:val="top"/>
          </w:tcPr>
          <w:p>
            <w:pPr>
              <w:pStyle w:val="Compact"/>
              <w:keepLines/>
              <w:widowControl/>
              <w:spacing w:before="0" w:after="40" w:line="240" w:lineRule="auto"/>
              <w:jc w:val="center"/>
            </w:pPr>
            <w:r>
              <w:rPr>
                <w:sz w:val="20"/>
                <w:szCs w:val="20"/>
              </w:rPr>
              <w:t xml:space="preserve">Categories without order</w:t>
            </w:r>
          </w:p>
        </w:tc>
        <w:tc>
          <w:tcPr>
            <w:tcW w:w="2476" w:type="dxa"/>
            <w:shd w:fill="F3F7F9"/>
            <w:vAlign w:val="top"/>
          </w:tcPr>
          <w:p>
            <w:pPr>
              <w:pStyle w:val="Compact"/>
              <w:keepLines/>
              <w:widowControl/>
              <w:spacing w:before="0" w:after="40" w:line="240" w:lineRule="auto"/>
              <w:jc w:val="center"/>
            </w:pPr>
            <w:r>
              <w:rPr>
                <w:sz w:val="20"/>
                <w:szCs w:val="20"/>
              </w:rPr>
              <w:t xml:space="preserve">One-to-one relabeling</w:t>
            </w:r>
          </w:p>
        </w:tc>
        <w:tc>
          <w:tcPr>
            <w:tcW w:w="2857" w:type="dxa"/>
            <w:shd w:fill="F3F7F9"/>
            <w:vAlign w:val="top"/>
          </w:tcPr>
          <w:p>
            <w:pPr>
              <w:pStyle w:val="Compact"/>
              <w:keepLines/>
              <w:widowControl/>
              <w:spacing w:before="0" w:after="40" w:line="240" w:lineRule="auto"/>
              <w:jc w:val="center"/>
            </w:pPr>
            <w:r>
              <w:rPr>
                <w:sz w:val="20"/>
                <w:szCs w:val="20"/>
              </w:rPr>
              <w:t xml:space="preserve">Counts, proportions, mode</w:t>
            </w:r>
          </w:p>
        </w:tc>
      </w:tr>
      <w:tr>
        <w:trPr>
          <w:cantSplit/>
        </w:trPr>
        <w:tc>
          <w:tcPr>
            <w:tcW w:w="1524" w:type="dxa"/>
            <w:shd w:fill="FFFFFF"/>
            <w:vAlign w:val="top"/>
          </w:tcPr>
          <w:p>
            <w:pPr>
              <w:pStyle w:val="Compact"/>
              <w:keepLines/>
              <w:widowControl/>
              <w:spacing w:before="0" w:after="40" w:line="240" w:lineRule="auto"/>
              <w:jc w:val="center"/>
            </w:pPr>
            <w:r>
              <w:rPr>
                <w:sz w:val="20"/>
                <w:szCs w:val="20"/>
              </w:rPr>
              <w:t xml:space="preserve">Ordinal</w:t>
            </w:r>
          </w:p>
        </w:tc>
        <w:tc>
          <w:tcPr>
            <w:tcW w:w="2667" w:type="dxa"/>
            <w:shd w:fill="FFFFFF"/>
            <w:vAlign w:val="top"/>
          </w:tcPr>
          <w:p>
            <w:pPr>
              <w:pStyle w:val="Compact"/>
              <w:keepLines/>
              <w:widowControl/>
              <w:spacing w:before="0" w:after="40" w:line="240" w:lineRule="auto"/>
              <w:jc w:val="center"/>
            </w:pPr>
            <w:r>
              <w:rPr>
                <w:sz w:val="20"/>
                <w:szCs w:val="20"/>
              </w:rPr>
              <w:t xml:space="preserve">Ordered categories, unequal spacing</w:t>
            </w:r>
          </w:p>
        </w:tc>
        <w:tc>
          <w:tcPr>
            <w:tcW w:w="2476" w:type="dxa"/>
            <w:shd w:fill="FFFFFF"/>
            <w:vAlign w:val="top"/>
          </w:tcPr>
          <w:p>
            <w:pPr>
              <w:pStyle w:val="Compact"/>
              <w:keepLines/>
              <w:widowControl/>
              <w:spacing w:before="0" w:after="40" w:line="240" w:lineRule="auto"/>
              <w:jc w:val="center"/>
            </w:pPr>
            <w:r>
              <w:rPr>
                <w:sz w:val="20"/>
                <w:szCs w:val="20"/>
              </w:rPr>
              <w:t xml:space="preserve">Strictly increasing recoding</w:t>
            </w:r>
          </w:p>
        </w:tc>
        <w:tc>
          <w:tcPr>
            <w:tcW w:w="2857" w:type="dxa"/>
            <w:shd w:fill="FFFFFF"/>
            <w:vAlign w:val="top"/>
          </w:tcPr>
          <w:p>
            <w:pPr>
              <w:pStyle w:val="Compact"/>
              <w:keepLines/>
              <w:widowControl/>
              <w:spacing w:before="0" w:after="40" w:line="240" w:lineRule="auto"/>
              <w:jc w:val="center"/>
            </w:pPr>
            <w:r>
              <w:rPr>
                <w:sz w:val="20"/>
                <w:szCs w:val="20"/>
              </w:rPr>
              <w:t xml:space="preserve">Counts, proportions, median, percentiles, mode</w:t>
            </w:r>
          </w:p>
        </w:tc>
      </w:tr>
      <w:tr>
        <w:trPr>
          <w:cantSplit/>
        </w:trPr>
        <w:tc>
          <w:tcPr>
            <w:tcW w:w="1524" w:type="dxa"/>
            <w:shd w:fill="F3F7F9"/>
            <w:vAlign w:val="top"/>
          </w:tcPr>
          <w:p>
            <w:pPr>
              <w:pStyle w:val="Compact"/>
              <w:keepLines/>
              <w:widowControl/>
              <w:spacing w:before="0" w:after="40" w:line="240" w:lineRule="auto"/>
              <w:jc w:val="center"/>
            </w:pPr>
            <w:r>
              <w:rPr>
                <w:sz w:val="20"/>
                <w:szCs w:val="20"/>
              </w:rPr>
              <w:t xml:space="preserve">Interval</w:t>
            </w:r>
          </w:p>
        </w:tc>
        <w:tc>
          <w:tcPr>
            <w:tcW w:w="2667" w:type="dxa"/>
            <w:shd w:fill="F3F7F9"/>
            <w:vAlign w:val="top"/>
          </w:tcPr>
          <w:p>
            <w:pPr>
              <w:pStyle w:val="Compact"/>
              <w:keepLines/>
              <w:widowControl/>
              <w:spacing w:before="0" w:after="40" w:line="240" w:lineRule="auto"/>
              <w:jc w:val="center"/>
            </w:pPr>
            <w:r>
              <w:rPr>
                <w:sz w:val="20"/>
                <w:szCs w:val="20"/>
              </w:rPr>
              <w:t xml:space="preserve">Equal spacing, assigned zero</w:t>
            </w:r>
          </w:p>
        </w:tc>
        <w:tc>
          <w:tcPr>
            <w:tcW w:w="2476" w:type="dxa"/>
            <w:shd w:fill="F3F7F9"/>
            <w:vAlign w:val="top"/>
          </w:tcPr>
          <w:p>
            <w:pPr>
              <w:pStyle w:val="Compact"/>
              <w:keepLines/>
              <w:widowControl/>
              <w:spacing w:before="0" w:after="40" w:line="240" w:lineRule="auto"/>
              <w:jc w:val="center"/>
            </w:pPr>
            <ns5:oMath>
              <ns5:r>
                <ns5:t>y</ns5:t>
              </ns5:r>
              <ns5:r>
                <ns5:rPr>
                  <ns5:sty ns5:val="p"/>
                </ns5:rPr>
                <ns5:t>=</ns5:t>
              </ns5:r>
              <ns5:r>
                <ns5:t>a</ns5:t>
              </ns5:r>
              <ns5:r>
                <ns5:rPr>
                  <ns5:sty ns5:val="p"/>
                </ns5:rPr>
                <ns5:t>+</ns5:t>
              </ns5:r>
              <ns5:r>
                <ns5:t>b</ns5:t>
              </ns5:r>
              <ns5:r>
                <ns5:t>x</ns5:t>
              </ns5:r>
            </ns5:oMath>
            <w:r>
              <w:rPr>
                <w:sz w:val="20"/>
                <w:szCs w:val="20"/>
              </w:rPr>
              <w:t xml:space="preserve">,</w:t>
            </w:r>
            <w:r>
              <w:rPr>
                <w:sz w:val="20"/>
                <w:szCs w:val="20"/>
              </w:rPr>
              <w:t xml:space="preserve"> </w:t>
            </w:r>
            <ns5:oMath>
              <ns5:r>
                <ns5:t>b</ns5:t>
              </ns5:r>
              <ns5:r>
                <ns5:rPr>
                  <ns5:sty ns5:val="p"/>
                </ns5:rPr>
                <ns5:t>&gt;</ns5:t>
              </ns5:r>
              <ns5:r>
                <ns5:t>0</ns5:t>
              </ns5:r>
            </ns5:oMath>
          </w:p>
        </w:tc>
        <w:tc>
          <w:tcPr>
            <w:tcW w:w="2857" w:type="dxa"/>
            <w:shd w:fill="F3F7F9"/>
            <w:vAlign w:val="top"/>
          </w:tcPr>
          <w:p>
            <w:pPr>
              <w:pStyle w:val="Compact"/>
              <w:keepLines/>
              <w:widowControl/>
              <w:spacing w:before="0" w:after="40" w:line="240" w:lineRule="auto"/>
              <w:jc w:val="center"/>
            </w:pPr>
            <w:r>
              <w:rPr>
                <w:sz w:val="20"/>
                <w:szCs w:val="20"/>
              </w:rPr>
              <w:t xml:space="preserve">Mean, SD, differences, correlation</w:t>
            </w:r>
          </w:p>
        </w:tc>
      </w:tr>
      <w:tr>
        <w:trPr>
          <w:cantSplit/>
        </w:trPr>
        <w:tc>
          <w:tcPr>
            <w:tcW w:w="1524" w:type="dxa"/>
            <w:shd w:fill="FFFFFF"/>
            <w:vAlign w:val="top"/>
          </w:tcPr>
          <w:p>
            <w:pPr>
              <w:pStyle w:val="Compact"/>
              <w:keepLines/>
              <w:widowControl/>
              <w:spacing w:before="0" w:after="40" w:line="240" w:lineRule="auto"/>
              <w:jc w:val="center"/>
            </w:pPr>
            <w:r>
              <w:rPr>
                <w:sz w:val="20"/>
                <w:szCs w:val="20"/>
              </w:rPr>
              <w:t xml:space="preserve">Ratio</w:t>
            </w:r>
          </w:p>
        </w:tc>
        <w:tc>
          <w:tcPr>
            <w:tcW w:w="2667" w:type="dxa"/>
            <w:shd w:fill="FFFFFF"/>
            <w:vAlign w:val="top"/>
          </w:tcPr>
          <w:p>
            <w:pPr>
              <w:pStyle w:val="Compact"/>
              <w:keepLines/>
              <w:widowControl/>
              <w:spacing w:before="0" w:after="40" w:line="240" w:lineRule="auto"/>
              <w:jc w:val="center"/>
            </w:pPr>
            <w:r>
              <w:rPr>
                <w:sz w:val="20"/>
                <w:szCs w:val="20"/>
              </w:rPr>
              <w:t xml:space="preserve">Equal spacing, true zero</w:t>
            </w:r>
          </w:p>
        </w:tc>
        <w:tc>
          <w:tcPr>
            <w:tcW w:w="2476" w:type="dxa"/>
            <w:shd w:fill="FFFFFF"/>
            <w:vAlign w:val="top"/>
          </w:tcPr>
          <w:p>
            <w:pPr>
              <w:pStyle w:val="Compact"/>
              <w:keepLines/>
              <w:widowControl/>
              <w:spacing w:before="0" w:after="40" w:line="240" w:lineRule="auto"/>
              <w:jc w:val="center"/>
            </w:pPr>
            <ns5:oMath>
              <ns5:r>
                <ns5:t>y</ns5:t>
              </ns5:r>
              <ns5:r>
                <ns5:rPr>
                  <ns5:sty ns5:val="p"/>
                </ns5:rPr>
                <ns5:t>=</ns5:t>
              </ns5:r>
              <ns5:r>
                <ns5:t>b</ns5:t>
              </ns5:r>
              <ns5:r>
                <ns5:t>x</ns5:t>
              </ns5:r>
            </ns5:oMath>
            <w:r>
              <w:rPr>
                <w:sz w:val="20"/>
                <w:szCs w:val="20"/>
              </w:rPr>
              <w:t xml:space="preserve">,</w:t>
            </w:r>
            <w:r>
              <w:rPr>
                <w:sz w:val="20"/>
                <w:szCs w:val="20"/>
              </w:rPr>
              <w:t xml:space="preserve"> </w:t>
            </w:r>
            <ns5:oMath>
              <ns5:r>
                <ns5:t>b</ns5:t>
              </ns5:r>
              <ns5:r>
                <ns5:rPr>
                  <ns5:sty ns5:val="p"/>
                </ns5:rPr>
                <ns5:t>&gt;</ns5:t>
              </ns5:r>
              <ns5:r>
                <ns5:t>0</ns5:t>
              </ns5:r>
            </ns5:oMath>
          </w:p>
        </w:tc>
        <w:tc>
          <w:tcPr>
            <w:tcW w:w="2857" w:type="dxa"/>
            <w:shd w:fill="FFFFFF"/>
            <w:vAlign w:val="top"/>
          </w:tcPr>
          <w:p>
            <w:pPr>
              <w:pStyle w:val="Compact"/>
              <w:keepLines/>
              <w:widowControl/>
              <w:spacing w:before="0" w:after="40" w:line="240" w:lineRule="auto"/>
              <w:jc w:val="center"/>
            </w:pPr>
            <w:r>
              <w:rPr>
                <w:sz w:val="20"/>
                <w:szCs w:val="20"/>
              </w:rPr>
              <w:t xml:space="preserve">Interval summaries plus meaningful ratios</w:t>
            </w:r>
          </w:p>
        </w:tc>
      </w:tr>
      <w:tr>
        <w:trPr>
          <w:cantSplit/>
        </w:trPr>
        <w:tc>
          <w:tcPr>
            <w:tcW w:w="1524" w:type="dxa"/>
            <w:shd w:fill="F3F7F9"/>
            <w:vAlign w:val="top"/>
          </w:tcPr>
          <w:p>
            <w:pPr>
              <w:pStyle w:val="Compact"/>
              <w:keepLines/>
              <w:widowControl/>
              <w:spacing w:before="0" w:after="40" w:line="240" w:lineRule="auto"/>
              <w:jc w:val="center"/>
            </w:pPr>
            <w:r>
              <w:rPr>
                <w:sz w:val="20"/>
                <w:szCs w:val="20"/>
              </w:rPr>
              <w:t xml:space="preserve">Absolute</w:t>
            </w:r>
          </w:p>
        </w:tc>
        <w:tc>
          <w:tcPr>
            <w:tcW w:w="2667" w:type="dxa"/>
            <w:shd w:fill="F3F7F9"/>
            <w:vAlign w:val="top"/>
          </w:tcPr>
          <w:p>
            <w:pPr>
              <w:pStyle w:val="Compact"/>
              <w:keepLines/>
              <w:widowControl/>
              <w:spacing w:before="0" w:after="40" w:line="240" w:lineRule="auto"/>
              <w:jc w:val="center"/>
            </w:pPr>
            <w:r>
              <w:rPr>
                <w:sz w:val="20"/>
                <w:szCs w:val="20"/>
              </w:rPr>
              <w:t xml:space="preserve">True zero and fixed natural unit</w:t>
            </w:r>
          </w:p>
        </w:tc>
        <w:tc>
          <w:tcPr>
            <w:tcW w:w="2476" w:type="dxa"/>
            <w:shd w:fill="F3F7F9"/>
            <w:vAlign w:val="top"/>
          </w:tcPr>
          <w:p>
            <w:pPr>
              <w:pStyle w:val="Compact"/>
              <w:keepLines/>
              <w:widowControl/>
              <w:spacing w:before="0" w:after="40" w:line="240" w:lineRule="auto"/>
              <w:jc w:val="center"/>
            </w:pPr>
            <ns5:oMath>
              <ns5:r>
                <ns5:t>y</ns5:t>
              </ns5:r>
              <ns5:r>
                <ns5:rPr>
                  <ns5:sty ns5:val="p"/>
                </ns5:rPr>
                <ns5:t>=</ns5:t>
              </ns5:r>
              <ns5:r>
                <ns5:t>x</ns5:t>
              </ns5:r>
            </ns5:oMath>
          </w:p>
        </w:tc>
        <w:tc>
          <w:tcPr>
            <w:tcW w:w="2857" w:type="dxa"/>
            <w:shd w:fill="F3F7F9"/>
            <w:vAlign w:val="top"/>
          </w:tcPr>
          <w:p>
            <w:pPr>
              <w:pStyle w:val="Compact"/>
              <w:keepLines/>
              <w:widowControl/>
              <w:spacing w:before="0" w:after="40" w:line="240" w:lineRule="auto"/>
              <w:jc w:val="center"/>
            </w:pPr>
            <w:r>
              <w:rPr>
                <w:sz w:val="20"/>
                <w:szCs w:val="20"/>
              </w:rPr>
              <w:t xml:space="preserve">Ratio summaries and counts</w:t>
            </w:r>
          </w:p>
        </w:tc>
      </w:tr>
    </w:tbl>
    <w:bookmarkEnd w:id="25"/>
    <w:p/>
    <w:p>
      <w:pPr>
        <w:pStyle w:val="BodyText"/>
      </w:pPr>
      <w:r>
        <w:t xml:space="preserve">Interval, ratio, and absolute scales are collectively called</w:t>
      </w:r>
      <w:r>
        <w:t xml:space="preserve"> </w:t>
      </w:r>
      <w:r>
        <w:rPr>
          <w:b/>
          <w:bCs/>
        </w:rPr>
        <w:t xml:space="preserve">metric</w:t>
      </w:r>
      <w:r>
        <w:t xml:space="preserve"> </w:t>
      </w:r>
      <w:r>
        <w:t xml:space="preserve">scales.</w:t>
      </w:r>
    </w:p>
    <w:p>
      <w:pPr>
        <w:pBdr>
          <w:bottom w:val="single" w:sz="4" w:space="6" w:color="B8C6CF"/>
        </w:pBdr>
        <w:spacing w:before="60" w:after="100"/>
      </w:pPr>
    </w:p>
    <w:bookmarkEnd w:id="26"/>
    <w:bookmarkStart w:id="28" w:name="frequency-distributions"/>
    <w:p>
      <w:pPr>
        <w:pStyle w:val="Heading2"/>
      </w:pPr>
      <w:r>
        <w:t xml:space="preserve">Frequency Distributions</w:t>
      </w:r>
    </w:p>
    <w:bookmarkStart w:id="27" w:name="tbl-summary-frequencies"/>
    <w:p>
      <w:pPr>
        <w:pStyle w:val="TableCaption"/>
        <w:keepNext/>
        <w:keepLines/>
        <w:widowControl/>
        <w:spacing w:before="120" w:after="80"/>
        <w:jc w:val="left"/>
      </w:pPr>
      <w:r>
        <w:t xml:space="preserve">Table 3: Compact reference for frequency distributions.</w:t>
      </w:r>
    </w:p>
    <w:tbl>
      <w:tblPr>
        <w:tblStyle w:val="RatiomeraTable"/>
        <w:tblW w:w="9524" w:type="dxa"/>
        <w:tblBorders>
          <w:top w:val="single" w:sz="6" w:space="0" w:color="9FB2BF"/>
          <w:left w:val="single" w:sz="4" w:space="0" w:color="D4DEE4"/>
          <w:bottom w:val="single" w:sz="6" w:space="0" w:color="9FB2BF"/>
          <w:right w:val="single" w:sz="4" w:space="0" w:color="D4DEE4"/>
          <w:insideH w:val="single" w:sz="4" w:space="0" w:color="D4DEE4"/>
          <w:insideV w:val="single" w:sz="4" w:space="0" w:color="D4DEE4"/>
        </w:tblBorders>
        <w:tblLayout w:val="fixed"/>
        <w:tblCellMar>
          <w:top w:w="70" w:type="dxa"/>
          <w:left w:w="110" w:type="dxa"/>
          <w:bottom w:w="70" w:type="dxa"/>
          <w:right w:w="110" w:type="dxa"/>
        </w:tblCellMar>
        <w:tblLook w:firstRow="1" w:lastRow="0" w:firstColumn="0" w:lastColumn="0" w:noHBand="0" w:noVBand="1" w:val="0220"/>
      </w:tblPr>
      <w:tblGrid>
        <w:gridCol w:w="3048"/>
        <w:gridCol w:w="2286"/>
        <w:gridCol w:w="4190"/>
      </w:tblGrid>
      <w:tr>
        <w:trPr>
          <w:cantSplit/>
          <w:tblHeader w:val="on"/>
        </w:trPr>
        <w:tc>
          <w:tcPr>
            <w:tcW w:w="3048" w:type="dxa"/>
            <w:shd w:fill="EAF2F6"/>
            <w:vAlign w:val="center"/>
          </w:tcPr>
          <w:p>
            <w:pPr>
              <w:pStyle w:val="Compact"/>
              <w:keepLines/>
              <w:widowControl/>
              <w:spacing w:before="0" w:after="40" w:line="240" w:lineRule="auto"/>
              <w:jc w:val="left"/>
            </w:pPr>
            <w:r>
              <w:rPr>
                <w:b/>
                <w:color w:val="183B56"/>
                <w:sz w:val="20"/>
                <w:szCs w:val="20"/>
              </w:rPr>
              <w:t xml:space="preserve">Quantity</w:t>
            </w:r>
          </w:p>
        </w:tc>
        <w:tc>
          <w:tcPr>
            <w:tcW w:w="2286" w:type="dxa"/>
            <w:shd w:fill="EAF2F6"/>
            <w:vAlign w:val="center"/>
          </w:tcPr>
          <w:p>
            <w:pPr>
              <w:pStyle w:val="Compact"/>
              <w:keepLines/>
              <w:widowControl/>
              <w:spacing w:before="0" w:after="40" w:line="240" w:lineRule="auto"/>
              <w:jc w:val="left"/>
            </w:pPr>
            <w:r>
              <w:rPr>
                <w:b/>
                <w:color w:val="183B56"/>
                <w:sz w:val="20"/>
                <w:szCs w:val="20"/>
              </w:rPr>
              <w:t xml:space="preserve">Formula</w:t>
            </w:r>
          </w:p>
        </w:tc>
        <w:tc>
          <w:tcPr>
            <w:tcW w:w="4190" w:type="dxa"/>
            <w:shd w:fill="EAF2F6"/>
            <w:vAlign w:val="center"/>
          </w:tcPr>
          <w:p>
            <w:pPr>
              <w:pStyle w:val="Compact"/>
              <w:keepLines/>
              <w:widowControl/>
              <w:spacing w:before="0" w:after="40" w:line="240" w:lineRule="auto"/>
              <w:jc w:val="left"/>
            </w:pPr>
            <w:r>
              <w:rPr>
                <w:b/>
                <w:color w:val="183B56"/>
                <w:sz w:val="20"/>
                <w:szCs w:val="20"/>
              </w:rPr>
              <w:t xml:space="preserve">Interpretation</w:t>
            </w:r>
          </w:p>
        </w:tc>
      </w:tr>
      <w:tr>
        <w:trPr>
          <w:cantSplit/>
        </w:trPr>
        <w:tc>
          <w:tcPr>
            <w:tcW w:w="3048" w:type="dxa"/>
            <w:shd w:fill="F3F7F9"/>
            <w:vAlign w:val="top"/>
          </w:tcPr>
          <w:p>
            <w:pPr>
              <w:pStyle w:val="Compact"/>
              <w:keepLines/>
              <w:widowControl/>
              <w:spacing w:before="0" w:after="40" w:line="240" w:lineRule="auto"/>
              <w:jc w:val="center"/>
            </w:pPr>
            <w:r>
              <w:rPr>
                <w:sz w:val="20"/>
                <w:szCs w:val="20"/>
              </w:rPr>
              <w:t xml:space="preserve">Absolute frequency</w:t>
            </w:r>
          </w:p>
        </w:tc>
        <w:tc>
          <w:tcPr>
            <w:tcW w:w="2286" w:type="dxa"/>
            <w:shd w:fill="F3F7F9"/>
            <w:vAlign w:val="top"/>
          </w:tcPr>
          <w:p>
            <w:pPr>
              <w:pStyle w:val="Compact"/>
              <w:keepLines/>
              <w:widowControl/>
              <w:spacing w:before="0" w:after="40" w:line="240" w:lineRule="auto"/>
              <w:jc w:val="center"/>
            </w:pPr>
            <ns5:oMath>
              <ns5:sSub>
                <ns5:e>
                  <ns5:r>
                    <ns5:t>n</ns5:t>
                  </ns5:r>
                </ns5:e>
                <ns5:sub>
                  <ns5:r>
                    <ns5:t>j</ns5:t>
                  </ns5:r>
                </ns5:sub>
              </ns5:sSub>
            </ns5:oMath>
          </w:p>
        </w:tc>
        <w:tc>
          <w:tcPr>
            <w:tcW w:w="4190" w:type="dxa"/>
            <w:shd w:fill="F3F7F9"/>
            <w:vAlign w:val="top"/>
          </w:tcPr>
          <w:p>
            <w:pPr>
              <w:pStyle w:val="Compact"/>
              <w:keepLines/>
              <w:widowControl/>
              <w:spacing w:before="0" w:after="40" w:line="240" w:lineRule="auto"/>
              <w:jc w:val="center"/>
            </w:pPr>
            <w:r>
              <w:rPr>
                <w:sz w:val="20"/>
                <w:szCs w:val="20"/>
              </w:rPr>
              <w:t xml:space="preserve">Number of observations in category</w:t>
            </w:r>
            <w:r>
              <w:rPr>
                <w:sz w:val="20"/>
                <w:szCs w:val="20"/>
              </w:rPr>
              <w:t xml:space="preserve"> </w:t>
            </w:r>
            <ns5:oMath>
              <ns5:r>
                <ns5:t>j</ns5:t>
              </ns5:r>
            </ns5:oMath>
          </w:p>
        </w:tc>
      </w:tr>
      <w:tr>
        <w:trPr>
          <w:cantSplit/>
        </w:trPr>
        <w:tc>
          <w:tcPr>
            <w:tcW w:w="3048" w:type="dxa"/>
            <w:shd w:fill="FFFFFF"/>
            <w:vAlign w:val="top"/>
          </w:tcPr>
          <w:p>
            <w:pPr>
              <w:pStyle w:val="Compact"/>
              <w:keepLines/>
              <w:widowControl/>
              <w:spacing w:before="0" w:after="40" w:line="240" w:lineRule="auto"/>
              <w:jc w:val="center"/>
            </w:pPr>
            <w:r>
              <w:rPr>
                <w:sz w:val="20"/>
                <w:szCs w:val="20"/>
              </w:rPr>
              <w:t xml:space="preserve">Relative frequency</w:t>
            </w:r>
          </w:p>
        </w:tc>
        <w:tc>
          <w:tcPr>
            <w:tcW w:w="2286" w:type="dxa"/>
            <w:shd w:fill="FFFFFF"/>
            <w:vAlign w:val="top"/>
          </w:tcPr>
          <w:p>
            <w:pPr>
              <w:pStyle w:val="Compact"/>
              <w:keepLines/>
              <w:widowControl/>
              <w:spacing w:before="0" w:after="40" w:line="240" w:lineRule="auto"/>
              <w:jc w:val="center"/>
            </w:pPr>
            <ns5:oMath>
              <ns5:sSub>
                <ns5:e>
                  <ns5:r>
                    <ns5:t>f</ns5:t>
                  </ns5:r>
                </ns5:e>
                <ns5:sub>
                  <ns5:r>
                    <ns5:t>j</ns5:t>
                  </ns5:r>
                </ns5:sub>
              </ns5:sSub>
              <ns5:r>
                <ns5:rPr>
                  <ns5:sty ns5:val="p"/>
                </ns5:rPr>
                <ns5:t>=</ns5:t>
              </ns5:r>
              <ns5:sSub>
                <ns5:e>
                  <ns5:r>
                    <ns5:t>n</ns5:t>
                  </ns5:r>
                </ns5:e>
                <ns5:sub>
                  <ns5:r>
                    <ns5:t>j</ns5:t>
                  </ns5:r>
                </ns5:sub>
              </ns5:sSub>
              <ns5:r>
                <ns5:rPr>
                  <ns5:sty ns5:val="p"/>
                </ns5:rPr>
                <ns5:t>/</ns5:t>
              </ns5:r>
              <ns5:r>
                <ns5:t>n</ns5:t>
              </ns5:r>
            </ns5:oMath>
          </w:p>
        </w:tc>
        <w:tc>
          <w:tcPr>
            <w:tcW w:w="4190" w:type="dxa"/>
            <w:shd w:fill="FFFFFF"/>
            <w:vAlign w:val="top"/>
          </w:tcPr>
          <w:p>
            <w:pPr>
              <w:pStyle w:val="Compact"/>
              <w:keepLines/>
              <w:widowControl/>
              <w:spacing w:before="0" w:after="40" w:line="240" w:lineRule="auto"/>
              <w:jc w:val="center"/>
            </w:pPr>
            <w:r>
              <w:rPr>
                <w:sz w:val="20"/>
                <w:szCs w:val="20"/>
              </w:rPr>
              <w:t xml:space="preserve">Proportion in category</w:t>
            </w:r>
            <w:r>
              <w:rPr>
                <w:sz w:val="20"/>
                <w:szCs w:val="20"/>
              </w:rPr>
              <w:t xml:space="preserve"> </w:t>
            </w:r>
            <ns5:oMath>
              <ns5:r>
                <ns5:t>j</ns5:t>
              </ns5:r>
            </ns5:oMath>
          </w:p>
        </w:tc>
      </w:tr>
      <w:tr>
        <w:trPr>
          <w:cantSplit/>
        </w:trPr>
        <w:tc>
          <w:tcPr>
            <w:tcW w:w="3048" w:type="dxa"/>
            <w:shd w:fill="F3F7F9"/>
            <w:vAlign w:val="top"/>
          </w:tcPr>
          <w:p>
            <w:pPr>
              <w:pStyle w:val="Compact"/>
              <w:keepLines/>
              <w:widowControl/>
              <w:spacing w:before="0" w:after="40" w:line="240" w:lineRule="auto"/>
              <w:jc w:val="center"/>
            </w:pPr>
            <w:r>
              <w:rPr>
                <w:sz w:val="20"/>
                <w:szCs w:val="20"/>
              </w:rPr>
              <w:t xml:space="preserve">Cumulative relative frequency</w:t>
            </w:r>
          </w:p>
        </w:tc>
        <w:tc>
          <w:tcPr>
            <w:tcW w:w="2286" w:type="dxa"/>
            <w:shd w:fill="F3F7F9"/>
            <w:vAlign w:val="top"/>
          </w:tcPr>
          <w:p>
            <w:pPr>
              <w:pStyle w:val="Compact"/>
              <w:keepLines/>
              <w:widowControl/>
              <w:spacing w:before="0" w:after="40" w:line="240" w:lineRule="auto"/>
              <w:jc w:val="center"/>
            </w:pPr>
            <ns5:oMath>
              <ns5:sSub>
                <ns5:e>
                  <ns5:r>
                    <ns5:t>F</ns5:t>
                  </ns5:r>
                </ns5:e>
                <ns5:sub>
                  <ns5:r>
                    <ns5:t>j</ns5:t>
                  </ns5:r>
                </ns5:sub>
              </ns5:sSub>
              <ns5:r>
                <ns5:rPr>
                  <ns5:sty ns5:val="p"/>
                </ns5:rPr>
                <ns5:t>=</ns5:t>
              </ns5:r>
              <ns5:nary>
                <ns5:naryPr>
                  <ns5:chr ns5:val="∑"/>
                  <ns5:limLoc ns5:val="undOvr"/>
                  <ns5:subHide ns5:val="off"/>
                  <ns5:supHide ns5:val="off"/>
                </ns5:naryPr>
                <ns5:sub>
                  <ns5:r>
                    <ns5:t>k</ns5:t>
                  </ns5:r>
                  <ns5:r>
                    <ns5:rPr>
                      <ns5:sty ns5:val="p"/>
                    </ns5:rPr>
                    <ns5:t>=</ns5:t>
                  </ns5:r>
                  <ns5:r>
                    <ns5:t>1</ns5:t>
                  </ns5:r>
                </ns5:sub>
                <ns5:sup>
                  <ns5:r>
                    <ns5:t>j</ns5:t>
                  </ns5:r>
                </ns5:sup>
                <ns5:e>
                  <ns5:sSub>
                    <ns5:e>
                      <ns5:r>
                        <ns5:t>f</ns5:t>
                      </ns5:r>
                    </ns5:e>
                    <ns5:sub>
                      <ns5:r>
                        <ns5:t>k</ns5:t>
                      </ns5:r>
                    </ns5:sub>
                  </ns5:sSub>
                </ns5:e>
              </ns5:nary>
            </ns5:oMath>
          </w:p>
        </w:tc>
        <w:tc>
          <w:tcPr>
            <w:tcW w:w="4190" w:type="dxa"/>
            <w:shd w:fill="F3F7F9"/>
            <w:vAlign w:val="top"/>
          </w:tcPr>
          <w:p>
            <w:pPr>
              <w:pStyle w:val="Compact"/>
              <w:keepLines/>
              <w:widowControl/>
              <w:spacing w:before="0" w:after="40" w:line="240" w:lineRule="auto"/>
              <w:jc w:val="center"/>
            </w:pPr>
            <w:r>
              <w:rPr>
                <w:sz w:val="20"/>
                <w:szCs w:val="20"/>
              </w:rPr>
              <w:t xml:space="preserve">Proportion at or below ordered category</w:t>
            </w:r>
            <w:r>
              <w:rPr>
                <w:sz w:val="20"/>
                <w:szCs w:val="20"/>
              </w:rPr>
              <w:t xml:space="preserve"> </w:t>
            </w:r>
            <ns5:oMath>
              <ns5:r>
                <ns5:t>j</ns5:t>
              </ns5:r>
            </ns5:oMath>
          </w:p>
        </w:tc>
      </w:tr>
    </w:tbl>
    <w:bookmarkEnd w:id="27"/>
    <w:p/>
    <w:p>
      <w:pPr>
        <w:pStyle w:val="BodyText"/>
      </w:pPr>
      <w:r>
        <w:t xml:space="preserve">Absolute frequencies sum to</w:t>
      </w:r>
      <w:r>
        <w:t xml:space="preserve"> </w:t>
      </w:r>
      <ns5:oMath>
        <ns5:r>
          <ns5:t>n</ns5:t>
        </ns5:r>
      </ns5:oMath>
      <w:r>
        <w:t xml:space="preserve"> </w:t>
      </w:r>
      <w:r>
        <w:t xml:space="preserve">and relative frequencies sum to 1, apart from rounding. Cumulative frequencies require an ordered variable and are not meaningful for nominal categories.</w:t>
      </w:r>
    </w:p>
    <w:p>
      <w:pPr>
        <w:pBdr>
          <w:bottom w:val="single" w:sz="4" w:space="6" w:color="B8C6CF"/>
        </w:pBdr>
        <w:spacing w:before="60" w:after="100"/>
      </w:pPr>
    </w:p>
    <w:bookmarkEnd w:id="28"/>
    <w:bookmarkStart w:id="30" w:name="central-tendency"/>
    <w:p>
      <w:pPr>
        <w:pStyle w:val="Heading2"/>
      </w:pPr>
      <w:r>
        <w:t xml:space="preserve">Central Tendency</w:t>
      </w:r>
    </w:p>
    <w:p>
      <w:pPr>
        <w:pStyle w:val="FirstParagraph"/>
      </w:pPr>
      <w:r>
        <w:t xml:space="preserve">Three measures describe the typical value:</w:t>
      </w:r>
    </w:p>
    <w:bookmarkStart w:id="29" w:name="tbl-summary-central-tendency"/>
    <w:p>
      <w:pPr>
        <w:pStyle w:val="TableCaption"/>
        <w:keepNext/>
        <w:keepLines/>
        <w:widowControl/>
        <w:spacing w:before="120" w:after="80"/>
        <w:jc w:val="left"/>
      </w:pPr>
      <w:r>
        <w:t xml:space="preserve">Table 4: Measures of central tendency and their uses.</w:t>
      </w:r>
    </w:p>
    <w:tbl>
      <w:tblPr>
        <w:tblStyle w:val="RatiomeraTable"/>
        <w:tblW w:w="9524" w:type="dxa"/>
        <w:tblBorders>
          <w:top w:val="single" w:sz="6" w:space="0" w:color="9FB2BF"/>
          <w:left w:val="single" w:sz="4" w:space="0" w:color="D4DEE4"/>
          <w:bottom w:val="single" w:sz="6" w:space="0" w:color="9FB2BF"/>
          <w:right w:val="single" w:sz="4" w:space="0" w:color="D4DEE4"/>
          <w:insideH w:val="single" w:sz="4" w:space="0" w:color="D4DEE4"/>
          <w:insideV w:val="single" w:sz="4" w:space="0" w:color="D4DEE4"/>
        </w:tblBorders>
        <w:tblLayout w:val="fixed"/>
        <w:tblCellMar>
          <w:top w:w="70" w:type="dxa"/>
          <w:left w:w="110" w:type="dxa"/>
          <w:bottom w:w="70" w:type="dxa"/>
          <w:right w:w="110" w:type="dxa"/>
        </w:tblCellMar>
        <w:tblLook w:firstRow="1" w:lastRow="0" w:firstColumn="0" w:lastColumn="0" w:noHBand="0" w:noVBand="1" w:val="0220"/>
      </w:tblPr>
      <w:tblGrid>
        <w:gridCol w:w="2476"/>
        <w:gridCol w:w="3048"/>
        <w:gridCol w:w="4000"/>
      </w:tblGrid>
      <w:tr>
        <w:trPr>
          <w:cantSplit/>
          <w:tblHeader w:val="on"/>
        </w:trPr>
        <w:tc>
          <w:tcPr>
            <w:tcW w:w="2476" w:type="dxa"/>
            <w:shd w:fill="EAF2F6"/>
            <w:vAlign w:val="center"/>
          </w:tcPr>
          <w:p>
            <w:pPr>
              <w:pStyle w:val="Compact"/>
              <w:keepLines/>
              <w:widowControl/>
              <w:spacing w:before="0" w:after="40" w:line="240" w:lineRule="auto"/>
              <w:jc w:val="left"/>
            </w:pPr>
            <w:r>
              <w:rPr>
                <w:b/>
                <w:color w:val="183B56"/>
                <w:sz w:val="20"/>
                <w:szCs w:val="20"/>
              </w:rPr>
              <w:t xml:space="preserve">Measure</w:t>
            </w:r>
          </w:p>
        </w:tc>
        <w:tc>
          <w:tcPr>
            <w:tcW w:w="3048" w:type="dxa"/>
            <w:shd w:fill="EAF2F6"/>
            <w:vAlign w:val="center"/>
          </w:tcPr>
          <w:p>
            <w:pPr>
              <w:pStyle w:val="Compact"/>
              <w:keepLines/>
              <w:widowControl/>
              <w:spacing w:before="0" w:after="40" w:line="240" w:lineRule="auto"/>
              <w:jc w:val="left"/>
            </w:pPr>
            <w:r>
              <w:rPr>
                <w:b/>
                <w:color w:val="183B56"/>
                <w:sz w:val="20"/>
                <w:szCs w:val="20"/>
              </w:rPr>
              <w:t xml:space="preserve">Formula</w:t>
            </w:r>
          </w:p>
        </w:tc>
        <w:tc>
          <w:tcPr>
            <w:tcW w:w="4000" w:type="dxa"/>
            <w:shd w:fill="EAF2F6"/>
            <w:vAlign w:val="center"/>
          </w:tcPr>
          <w:p>
            <w:pPr>
              <w:pStyle w:val="Compact"/>
              <w:keepLines/>
              <w:widowControl/>
              <w:spacing w:before="0" w:after="40" w:line="240" w:lineRule="auto"/>
              <w:jc w:val="left"/>
            </w:pPr>
            <w:r>
              <w:rPr>
                <w:b/>
                <w:color w:val="183B56"/>
                <w:sz w:val="20"/>
                <w:szCs w:val="20"/>
              </w:rPr>
              <w:t xml:space="preserve">When to use</w:t>
            </w:r>
          </w:p>
        </w:tc>
      </w:tr>
      <w:tr>
        <w:trPr>
          <w:cantSplit/>
        </w:trPr>
        <w:tc>
          <w:tcPr>
            <w:tcW w:w="2476" w:type="dxa"/>
            <w:shd w:fill="F3F7F9"/>
            <w:vAlign w:val="top"/>
          </w:tcPr>
          <w:p>
            <w:pPr>
              <w:pStyle w:val="Compact"/>
              <w:keepLines/>
              <w:widowControl/>
              <w:spacing w:before="0" w:after="40" w:line="240" w:lineRule="auto"/>
              <w:jc w:val="center"/>
            </w:pPr>
            <w:r>
              <w:rPr>
                <w:sz w:val="20"/>
                <w:szCs w:val="20"/>
              </w:rPr>
              <w:t xml:space="preserve">Mean</w:t>
            </w:r>
          </w:p>
        </w:tc>
        <w:tc>
          <w:tcPr>
            <w:tcW w:w="3048" w:type="dxa"/>
            <w:shd w:fill="F3F7F9"/>
            <w:vAlign w:val="top"/>
          </w:tcPr>
          <w:p>
            <w:pPr>
              <w:pStyle w:val="Compact"/>
              <w:keepLines/>
              <w:widowControl/>
              <w:spacing w:before="0" w:after="40" w:line="240" w:lineRule="auto"/>
              <w:jc w:val="center"/>
            </w:pPr>
            <ns5:oMath>
              <ns5:acc>
                <ns5:accPr>
                  <ns5:chr ns5:val="‾"/>
                </ns5:accPr>
                <ns5:e>
                  <ns5:r>
                    <ns5:t>x</ns5:t>
                  </ns5:r>
                </ns5:e>
              </ns5:acc>
              <ns5:r>
                <ns5:rPr>
                  <ns5:sty ns5:val="p"/>
                </ns5:rPr>
                <ns5:t>=</ns5:t>
              </ns5:r>
              <ns5:f>
                <ns5:fPr>
                  <ns5:type ns5:val="bar"/>
                </ns5:fPr>
                <ns5:num>
                  <ns5:r>
                    <ns5:t>1</ns5:t>
                  </ns5:r>
                </ns5:num>
                <ns5:den>
                  <ns5:r>
                    <ns5:t>n</ns5:t>
                  </ns5:r>
                </ns5:den>
              </ns5:f>
              <ns5:nary>
                <ns5:naryPr>
                  <ns5:chr ns5:val="∑"/>
                  <ns5:limLoc ns5:val="undOvr"/>
                  <ns5:subHide ns5:val="off"/>
                  <ns5:supHide ns5:val="off"/>
                </ns5:naryPr>
                <ns5:sub>
                  <ns5:r>
                    <ns5:t>i</ns5:t>
                  </ns5:r>
                  <ns5:r>
                    <ns5:rPr>
                      <ns5:sty ns5:val="p"/>
                    </ns5:rPr>
                    <ns5:t>=</ns5:t>
                  </ns5:r>
                  <ns5:r>
                    <ns5:t>1</ns5:t>
                  </ns5:r>
                </ns5:sub>
                <ns5:sup>
                  <ns5:r>
                    <ns5:t>n</ns5:t>
                  </ns5:r>
                </ns5:sup>
                <ns5:e>
                  <ns5:sSub>
                    <ns5:e>
                      <ns5:r>
                        <ns5:t>x</ns5:t>
                      </ns5:r>
                    </ns5:e>
                    <ns5:sub>
                      <ns5:r>
                        <ns5:t>i</ns5:t>
                      </ns5:r>
                    </ns5:sub>
                  </ns5:sSub>
                </ns5:e>
              </ns5:nary>
            </ns5:oMath>
          </w:p>
        </w:tc>
        <w:tc>
          <w:tcPr>
            <w:tcW w:w="4000" w:type="dxa"/>
            <w:shd w:fill="F3F7F9"/>
            <w:vAlign w:val="top"/>
          </w:tcPr>
          <w:p>
            <w:pPr>
              <w:pStyle w:val="Compact"/>
              <w:keepLines/>
              <w:widowControl/>
              <w:spacing w:before="0" w:after="40" w:line="240" w:lineRule="auto"/>
              <w:jc w:val="center"/>
            </w:pPr>
            <w:r>
              <w:rPr>
                <w:sz w:val="20"/>
                <w:szCs w:val="20"/>
              </w:rPr>
              <w:t xml:space="preserve">Symmetric distributions; metric data</w:t>
            </w:r>
          </w:p>
        </w:tc>
      </w:tr>
      <w:tr>
        <w:trPr>
          <w:cantSplit/>
        </w:trPr>
        <w:tc>
          <w:tcPr>
            <w:tcW w:w="2476" w:type="dxa"/>
            <w:shd w:fill="FFFFFF"/>
            <w:vAlign w:val="top"/>
          </w:tcPr>
          <w:p>
            <w:pPr>
              <w:pStyle w:val="Compact"/>
              <w:keepLines/>
              <w:widowControl/>
              <w:spacing w:before="0" w:after="40" w:line="240" w:lineRule="auto"/>
              <w:jc w:val="center"/>
            </w:pPr>
            <w:r>
              <w:rPr>
                <w:sz w:val="20"/>
                <w:szCs w:val="20"/>
              </w:rPr>
              <w:t xml:space="preserve">Median</w:t>
            </w:r>
          </w:p>
        </w:tc>
        <w:tc>
          <w:tcPr>
            <w:tcW w:w="3048" w:type="dxa"/>
            <w:shd w:fill="FFFFFF"/>
            <w:vAlign w:val="top"/>
          </w:tcPr>
          <w:p>
            <w:pPr>
              <w:pStyle w:val="Compact"/>
              <w:keepLines/>
              <w:widowControl/>
              <w:spacing w:before="0" w:after="40" w:line="240" w:lineRule="auto"/>
              <w:jc w:val="center"/>
            </w:pPr>
            <w:r>
              <w:rPr>
                <w:sz w:val="20"/>
                <w:szCs w:val="20"/>
              </w:rPr>
              <w:t xml:space="preserve">Middle value when sorted</w:t>
            </w:r>
          </w:p>
        </w:tc>
        <w:tc>
          <w:tcPr>
            <w:tcW w:w="4000" w:type="dxa"/>
            <w:shd w:fill="FFFFFF"/>
            <w:vAlign w:val="top"/>
          </w:tcPr>
          <w:p>
            <w:pPr>
              <w:pStyle w:val="Compact"/>
              <w:keepLines/>
              <w:widowControl/>
              <w:spacing w:before="0" w:after="40" w:line="240" w:lineRule="auto"/>
              <w:jc w:val="center"/>
            </w:pPr>
            <w:r>
              <w:rPr>
                <w:sz w:val="20"/>
                <w:szCs w:val="20"/>
              </w:rPr>
              <w:t xml:space="preserve">Skewed distributions; robust to outliers</w:t>
            </w:r>
          </w:p>
        </w:tc>
      </w:tr>
      <w:tr>
        <w:trPr>
          <w:cantSplit/>
        </w:trPr>
        <w:tc>
          <w:tcPr>
            <w:tcW w:w="2476" w:type="dxa"/>
            <w:shd w:fill="F3F7F9"/>
            <w:vAlign w:val="top"/>
          </w:tcPr>
          <w:p>
            <w:pPr>
              <w:pStyle w:val="Compact"/>
              <w:keepLines/>
              <w:widowControl/>
              <w:spacing w:before="0" w:after="40" w:line="240" w:lineRule="auto"/>
              <w:jc w:val="center"/>
            </w:pPr>
            <w:r>
              <w:rPr>
                <w:sz w:val="20"/>
                <w:szCs w:val="20"/>
              </w:rPr>
              <w:t xml:space="preserve">Mode</w:t>
            </w:r>
          </w:p>
        </w:tc>
        <w:tc>
          <w:tcPr>
            <w:tcW w:w="3048" w:type="dxa"/>
            <w:shd w:fill="F3F7F9"/>
            <w:vAlign w:val="top"/>
          </w:tcPr>
          <w:p>
            <w:pPr>
              <w:pStyle w:val="Compact"/>
              <w:keepLines/>
              <w:widowControl/>
              <w:spacing w:before="0" w:after="40" w:line="240" w:lineRule="auto"/>
              <w:jc w:val="center"/>
            </w:pPr>
            <w:r>
              <w:rPr>
                <w:sz w:val="20"/>
                <w:szCs w:val="20"/>
              </w:rPr>
              <w:t xml:space="preserve">Most frequent value or category</w:t>
            </w:r>
          </w:p>
        </w:tc>
        <w:tc>
          <w:tcPr>
            <w:tcW w:w="4000" w:type="dxa"/>
            <w:shd w:fill="F3F7F9"/>
            <w:vAlign w:val="top"/>
          </w:tcPr>
          <w:p>
            <w:pPr>
              <w:pStyle w:val="Compact"/>
              <w:keepLines/>
              <w:widowControl/>
              <w:spacing w:before="0" w:after="40" w:line="240" w:lineRule="auto"/>
              <w:jc w:val="center"/>
            </w:pPr>
            <w:r>
              <w:rPr>
                <w:sz w:val="20"/>
                <w:szCs w:val="20"/>
              </w:rPr>
              <w:t xml:space="preserve">Any scale; may be tied or nonunique</w:t>
            </w:r>
          </w:p>
        </w:tc>
      </w:tr>
    </w:tbl>
    <w:bookmarkEnd w:id="29"/>
    <w:p/>
    <w:p>
      <w:pPr>
        <w:pStyle w:val="BodyText"/>
      </w:pPr>
      <w:r>
        <w:t xml:space="preserve">When the mean is noticeably higher than the median, that pattern can suggest right skew, especially when a histogram also shows a long right tail. The ordering of the two statistics alone does not prove the distribution’s shape.</w:t>
      </w:r>
    </w:p>
    <w:p>
      <w:pPr>
        <w:pBdr>
          <w:bottom w:val="single" w:sz="4" w:space="6" w:color="B8C6CF"/>
        </w:pBdr>
        <w:spacing w:before="60" w:after="100"/>
      </w:pPr>
    </w:p>
    <w:bookmarkEnd w:id="30"/>
    <w:bookmarkStart w:id="32" w:name="variability"/>
    <w:p>
      <w:pPr>
        <w:pStyle w:val="Heading2"/>
      </w:pPr>
      <w:r>
        <w:t xml:space="preserve">Variability</w:t>
      </w:r>
    </w:p>
    <w:p>
      <w:pPr>
        <w:pStyle w:val="FirstParagraph"/>
      </w:pPr>
      <w:r>
        <w:t xml:space="preserve">Four measures describe how much individuals differ:</w:t>
      </w:r>
    </w:p>
    <w:bookmarkStart w:id="31" w:name="tbl-summary-variability"/>
    <w:p>
      <w:pPr>
        <w:pStyle w:val="TableCaption"/>
        <w:keepNext/>
        <w:keepLines/>
        <w:widowControl/>
        <w:spacing w:before="120" w:after="80"/>
        <w:jc w:val="left"/>
      </w:pPr>
      <w:r>
        <w:t xml:space="preserve">Table 5: Measures of variability and their uses.</w:t>
      </w:r>
    </w:p>
    <w:tbl>
      <w:tblPr>
        <w:tblStyle w:val="RatiomeraTable"/>
        <w:tblW w:w="9524" w:type="dxa"/>
        <w:tblBorders>
          <w:top w:val="single" w:sz="6" w:space="0" w:color="9FB2BF"/>
          <w:left w:val="single" w:sz="4" w:space="0" w:color="D4DEE4"/>
          <w:bottom w:val="single" w:sz="6" w:space="0" w:color="9FB2BF"/>
          <w:right w:val="single" w:sz="4" w:space="0" w:color="D4DEE4"/>
          <w:insideH w:val="single" w:sz="4" w:space="0" w:color="D4DEE4"/>
          <w:insideV w:val="single" w:sz="4" w:space="0" w:color="D4DEE4"/>
        </w:tblBorders>
        <w:tblLayout w:val="fixed"/>
        <w:tblCellMar>
          <w:top w:w="70" w:type="dxa"/>
          <w:left w:w="110" w:type="dxa"/>
          <w:bottom w:w="70" w:type="dxa"/>
          <w:right w:w="110" w:type="dxa"/>
        </w:tblCellMar>
        <w:tblLook w:firstRow="1" w:lastRow="0" w:firstColumn="0" w:lastColumn="0" w:noHBand="0" w:noVBand="1" w:val="0220"/>
      </w:tblPr>
      <w:tblGrid>
        <w:gridCol w:w="2667"/>
        <w:gridCol w:w="2667"/>
        <w:gridCol w:w="4190"/>
      </w:tblGrid>
      <w:tr>
        <w:trPr>
          <w:cantSplit/>
          <w:tblHeader w:val="on"/>
        </w:trPr>
        <w:tc>
          <w:tcPr>
            <w:tcW w:w="2667" w:type="dxa"/>
            <w:shd w:fill="EAF2F6"/>
            <w:vAlign w:val="center"/>
          </w:tcPr>
          <w:p>
            <w:pPr>
              <w:pStyle w:val="Compact"/>
              <w:keepLines/>
              <w:widowControl/>
              <w:spacing w:before="0" w:after="40" w:line="240" w:lineRule="auto"/>
              <w:jc w:val="left"/>
            </w:pPr>
            <w:r>
              <w:rPr>
                <w:b/>
                <w:color w:val="183B56"/>
                <w:sz w:val="20"/>
                <w:szCs w:val="20"/>
              </w:rPr>
              <w:t xml:space="preserve">Measure</w:t>
            </w:r>
          </w:p>
        </w:tc>
        <w:tc>
          <w:tcPr>
            <w:tcW w:w="2667" w:type="dxa"/>
            <w:shd w:fill="EAF2F6"/>
            <w:vAlign w:val="center"/>
          </w:tcPr>
          <w:p>
            <w:pPr>
              <w:pStyle w:val="Compact"/>
              <w:keepLines/>
              <w:widowControl/>
              <w:spacing w:before="0" w:after="40" w:line="240" w:lineRule="auto"/>
              <w:jc w:val="left"/>
            </w:pPr>
            <w:r>
              <w:rPr>
                <w:b/>
                <w:color w:val="183B56"/>
                <w:sz w:val="20"/>
                <w:szCs w:val="20"/>
              </w:rPr>
              <w:t xml:space="preserve">Formula</w:t>
            </w:r>
          </w:p>
        </w:tc>
        <w:tc>
          <w:tcPr>
            <w:tcW w:w="4190" w:type="dxa"/>
            <w:shd w:fill="EAF2F6"/>
            <w:vAlign w:val="center"/>
          </w:tcPr>
          <w:p>
            <w:pPr>
              <w:pStyle w:val="Compact"/>
              <w:keepLines/>
              <w:widowControl/>
              <w:spacing w:before="0" w:after="40" w:line="240" w:lineRule="auto"/>
              <w:jc w:val="left"/>
            </w:pPr>
            <w:r>
              <w:rPr>
                <w:b/>
                <w:color w:val="183B56"/>
                <w:sz w:val="20"/>
                <w:szCs w:val="20"/>
              </w:rPr>
              <w:t xml:space="preserve">When to use</w:t>
            </w:r>
          </w:p>
        </w:tc>
      </w:tr>
      <w:tr>
        <w:trPr>
          <w:cantSplit/>
        </w:trPr>
        <w:tc>
          <w:tcPr>
            <w:tcW w:w="2667" w:type="dxa"/>
            <w:shd w:fill="F3F7F9"/>
            <w:vAlign w:val="top"/>
          </w:tcPr>
          <w:p>
            <w:pPr>
              <w:pStyle w:val="Compact"/>
              <w:keepLines/>
              <w:widowControl/>
              <w:spacing w:before="0" w:after="40" w:line="240" w:lineRule="auto"/>
              <w:jc w:val="center"/>
            </w:pPr>
            <w:r>
              <w:rPr>
                <w:sz w:val="20"/>
                <w:szCs w:val="20"/>
              </w:rPr>
              <w:t xml:space="preserve">Range</w:t>
            </w:r>
          </w:p>
        </w:tc>
        <w:tc>
          <w:tcPr>
            <w:tcW w:w="2667" w:type="dxa"/>
            <w:shd w:fill="F3F7F9"/>
            <w:vAlign w:val="top"/>
          </w:tcPr>
          <w:p>
            <w:pPr>
              <w:pStyle w:val="Compact"/>
              <w:keepLines/>
              <w:widowControl/>
              <w:spacing w:before="0" w:after="40" w:line="240" w:lineRule="auto"/>
              <w:jc w:val="center"/>
            </w:pPr>
            <ns5:oMath>
              <ns5:sSub>
                <ns5:e>
                  <ns5:r>
                    <ns5:t>x</ns5:t>
                  </ns5:r>
                </ns5:e>
                <ns5:sub>
                  <ns5:r>
                    <ns5:rPr>
                      <ns5:sty ns5:val="p"/>
                    </ns5:rPr>
                    <ns5:t>max</ns5:t>
                  </ns5:r>
                </ns5:sub>
              </ns5:sSub>
              <ns5:r>
                <ns5:rPr>
                  <ns5:sty ns5:val="p"/>
                </ns5:rPr>
                <ns5:t>−</ns5:t>
              </ns5:r>
              <ns5:sSub>
                <ns5:e>
                  <ns5:r>
                    <ns5:t>x</ns5:t>
                  </ns5:r>
                </ns5:e>
                <ns5:sub>
                  <ns5:r>
                    <ns5:rPr>
                      <ns5:sty ns5:val="p"/>
                    </ns5:rPr>
                    <ns5:t>min</ns5:t>
                  </ns5:r>
                </ns5:sub>
              </ns5:sSub>
            </ns5:oMath>
          </w:p>
        </w:tc>
        <w:tc>
          <w:tcPr>
            <w:tcW w:w="4190" w:type="dxa"/>
            <w:shd w:fill="F3F7F9"/>
            <w:vAlign w:val="top"/>
          </w:tcPr>
          <w:p>
            <w:pPr>
              <w:pStyle w:val="Compact"/>
              <w:keepLines/>
              <w:widowControl/>
              <w:spacing w:before="0" w:after="40" w:line="240" w:lineRule="auto"/>
              <w:jc w:val="center"/>
            </w:pPr>
            <w:r>
              <w:rPr>
                <w:sz w:val="20"/>
                <w:szCs w:val="20"/>
              </w:rPr>
              <w:t xml:space="preserve">Direct overview; sensitive to extremes</w:t>
            </w:r>
          </w:p>
        </w:tc>
      </w:tr>
      <w:tr>
        <w:trPr>
          <w:cantSplit/>
        </w:trPr>
        <w:tc>
          <w:tcPr>
            <w:tcW w:w="2667" w:type="dxa"/>
            <w:shd w:fill="FFFFFF"/>
            <w:vAlign w:val="top"/>
          </w:tcPr>
          <w:p>
            <w:pPr>
              <w:pStyle w:val="Compact"/>
              <w:keepLines/>
              <w:widowControl/>
              <w:spacing w:before="0" w:after="40" w:line="240" w:lineRule="auto"/>
              <w:jc w:val="center"/>
            </w:pPr>
            <w:r>
              <w:rPr>
                <w:sz w:val="20"/>
                <w:szCs w:val="20"/>
              </w:rPr>
              <w:t xml:space="preserve">IQR</w:t>
            </w:r>
          </w:p>
        </w:tc>
        <w:tc>
          <w:tcPr>
            <w:tcW w:w="2667" w:type="dxa"/>
            <w:shd w:fill="FFFFFF"/>
            <w:vAlign w:val="top"/>
          </w:tcPr>
          <w:p>
            <w:pPr>
              <w:pStyle w:val="Compact"/>
              <w:keepLines/>
              <w:widowControl/>
              <w:spacing w:before="0" w:after="40" w:line="240" w:lineRule="auto"/>
              <w:jc w:val="center"/>
            </w:pPr>
            <ns5:oMath>
              <ns5:sSub>
                <ns5:e>
                  <ns5:r>
                    <ns5:t>Q</ns5:t>
                  </ns5:r>
                </ns5:e>
                <ns5:sub>
                  <ns5:r>
                    <ns5:t>3</ns5:t>
                  </ns5:r>
                </ns5:sub>
              </ns5:sSub>
              <ns5:r>
                <ns5:rPr>
                  <ns5:sty ns5:val="p"/>
                </ns5:rPr>
                <ns5:t>−</ns5:t>
              </ns5:r>
              <ns5:sSub>
                <ns5:e>
                  <ns5:r>
                    <ns5:t>Q</ns5:t>
                  </ns5:r>
                </ns5:e>
                <ns5:sub>
                  <ns5:r>
                    <ns5:t>1</ns5:t>
                  </ns5:r>
                </ns5:sub>
              </ns5:sSub>
            </ns5:oMath>
          </w:p>
        </w:tc>
        <w:tc>
          <w:tcPr>
            <w:tcW w:w="4190" w:type="dxa"/>
            <w:shd w:fill="FFFFFF"/>
            <w:vAlign w:val="top"/>
          </w:tcPr>
          <w:p>
            <w:pPr>
              <w:pStyle w:val="Compact"/>
              <w:keepLines/>
              <w:widowControl/>
              <w:spacing w:before="0" w:after="40" w:line="240" w:lineRule="auto"/>
              <w:jc w:val="center"/>
            </w:pPr>
            <w:r>
              <w:rPr>
                <w:sz w:val="20"/>
                <w:szCs w:val="20"/>
              </w:rPr>
              <w:t xml:space="preserve">Robust spread; paired with median</w:t>
            </w:r>
          </w:p>
        </w:tc>
      </w:tr>
      <w:tr>
        <w:trPr>
          <w:cantSplit/>
        </w:trPr>
        <w:tc>
          <w:tcPr>
            <w:tcW w:w="2667" w:type="dxa"/>
            <w:shd w:fill="F3F7F9"/>
            <w:vAlign w:val="top"/>
          </w:tcPr>
          <w:p>
            <w:pPr>
              <w:pStyle w:val="Compact"/>
              <w:keepLines/>
              <w:widowControl/>
              <w:spacing w:before="0" w:after="40" w:line="240" w:lineRule="auto"/>
              <w:jc w:val="center"/>
            </w:pPr>
            <w:r>
              <w:rPr>
                <w:sz w:val="20"/>
                <w:szCs w:val="20"/>
              </w:rPr>
              <w:t xml:space="preserve">Variance</w:t>
            </w:r>
          </w:p>
        </w:tc>
        <w:tc>
          <w:tcPr>
            <w:tcW w:w="2667" w:type="dxa"/>
            <w:shd w:fill="F3F7F9"/>
            <w:vAlign w:val="top"/>
          </w:tcPr>
          <w:p>
            <w:pPr>
              <w:pStyle w:val="Compact"/>
              <w:keepLines/>
              <w:widowControl/>
              <w:spacing w:before="0" w:after="40" w:line="240" w:lineRule="auto"/>
              <w:jc w:val="center"/>
            </w:pPr>
            <ns5:oMath>
              <ns5:sSup>
                <ns5:e>
                  <ns5:r>
                    <ns5:t>s</ns5:t>
                  </ns5:r>
                </ns5:e>
                <ns5:sup>
                  <ns5:r>
                    <ns5:t>2</ns5:t>
                  </ns5:r>
                </ns5:sup>
              </ns5:sSup>
              <ns5:r>
                <ns5:rPr>
                  <ns5:sty ns5:val="p"/>
                </ns5:rPr>
                <ns5:t>=</ns5:t>
              </ns5:r>
              <ns5:f>
                <ns5:fPr>
                  <ns5:type ns5:val="bar"/>
                </ns5:fPr>
                <ns5:num>
                  <ns5:r>
                    <ns5:t>1</ns5:t>
                  </ns5:r>
                </ns5:num>
                <ns5:den>
                  <ns5:r>
                    <ns5:t>n</ns5:t>
                  </ns5:r>
                  <ns5:r>
                    <ns5:rPr>
                      <ns5:sty ns5:val="p"/>
                    </ns5:rPr>
                    <ns5:t>−</ns5:t>
                  </ns5:r>
                  <ns5:r>
                    <ns5:t>1</ns5:t>
                  </ns5:r>
                </ns5:den>
              </ns5:f>
              <ns5:nary>
                <ns5:naryPr>
                  <ns5:chr ns5:val="∑"/>
                  <ns5:limLoc ns5:val="undOvr"/>
                  <ns5:subHide ns5:val="off"/>
                  <ns5:supHide ns5:val="off"/>
                </ns5:naryPr>
                <ns5:sub>
                  <ns5:r>
                    <ns5:t>i</ns5:t>
                  </ns5:r>
                  <ns5:r>
                    <ns5:rPr>
                      <ns5:sty ns5:val="p"/>
                    </ns5:rPr>
                    <ns5:t>=</ns5:t>
                  </ns5:r>
                  <ns5:r>
                    <ns5:t>1</ns5:t>
                  </ns5:r>
                </ns5:sub>
                <ns5:sup>
                  <ns5:r>
                    <ns5:t>n</ns5:t>
                  </ns5:r>
                </ns5:sup>
                <ns5:e>
                  <ns5:sSup>
                    <ns5:e>
                      <ns5:d>
                        <ns5:dPr>
                          <ns5:begChr ns5:val="("/>
                          <ns5:sepChr ns5:val=""/>
                          <ns5:endChr ns5:val=")"/>
                          <ns5:grow/>
                        </ns5:dPr>
                        <ns5:e>
                          <ns5:sSub>
                            <ns5:e>
                              <ns5:r>
                                <ns5:t>x</ns5:t>
                              </ns5:r>
                            </ns5:e>
                            <ns5:sub>
                              <ns5:r>
                                <ns5:t>i</ns5:t>
                              </ns5:r>
                            </ns5:sub>
                          </ns5:sSub>
                          <ns5:r>
                            <ns5:rPr>
                              <ns5:sty ns5:val="p"/>
                            </ns5:rPr>
                            <ns5:t>−</ns5:t>
                          </ns5:r>
                          <ns5:acc>
                            <ns5:accPr>
                              <ns5:chr ns5:val="‾"/>
                            </ns5:accPr>
                            <ns5:e>
                              <ns5:r>
                                <ns5:t>x</ns5:t>
                              </ns5:r>
                            </ns5:e>
                          </ns5:acc>
                        </ns5:e>
                      </ns5:d>
                    </ns5:e>
                    <ns5:sup>
                      <ns5:r>
                        <ns5:t>2</ns5:t>
                      </ns5:r>
                    </ns5:sup>
                  </ns5:sSup>
                </ns5:e>
              </ns5:nary>
            </ns5:oMath>
          </w:p>
        </w:tc>
        <w:tc>
          <w:tcPr>
            <w:tcW w:w="4190" w:type="dxa"/>
            <w:shd w:fill="F3F7F9"/>
            <w:vAlign w:val="top"/>
          </w:tcPr>
          <w:p>
            <w:pPr>
              <w:pStyle w:val="Compact"/>
              <w:keepLines/>
              <w:widowControl/>
              <w:spacing w:before="0" w:after="40" w:line="240" w:lineRule="auto"/>
              <w:jc w:val="center"/>
            </w:pPr>
            <w:r>
              <w:rPr>
                <w:sz w:val="20"/>
                <w:szCs w:val="20"/>
              </w:rPr>
              <w:t xml:space="preserve">Building block for SD and other statistics</w:t>
            </w:r>
          </w:p>
        </w:tc>
      </w:tr>
      <w:tr>
        <w:trPr>
          <w:cantSplit/>
        </w:trPr>
        <w:tc>
          <w:tcPr>
            <w:tcW w:w="2667" w:type="dxa"/>
            <w:shd w:fill="FFFFFF"/>
            <w:vAlign w:val="top"/>
          </w:tcPr>
          <w:p>
            <w:pPr>
              <w:pStyle w:val="Compact"/>
              <w:keepLines/>
              <w:widowControl/>
              <w:spacing w:before="0" w:after="40" w:line="240" w:lineRule="auto"/>
              <w:jc w:val="center"/>
            </w:pPr>
            <w:r>
              <w:rPr>
                <w:sz w:val="20"/>
                <w:szCs w:val="20"/>
              </w:rPr>
              <w:t xml:space="preserve">SD</w:t>
            </w:r>
          </w:p>
        </w:tc>
        <w:tc>
          <w:tcPr>
            <w:tcW w:w="2667" w:type="dxa"/>
            <w:shd w:fill="FFFFFF"/>
            <w:vAlign w:val="top"/>
          </w:tcPr>
          <w:p>
            <w:pPr>
              <w:pStyle w:val="Compact"/>
              <w:keepLines/>
              <w:widowControl/>
              <w:spacing w:before="0" w:after="40" w:line="240" w:lineRule="auto"/>
              <w:jc w:val="center"/>
            </w:pPr>
            <ns5:oMath>
              <ns5:r>
                <ns5:t>s</ns5:t>
              </ns5:r>
              <ns5:r>
                <ns5:rPr>
                  <ns5:sty ns5:val="p"/>
                </ns5:rPr>
                <ns5:t>=</ns5:t>
              </ns5:r>
              <ns5:rad>
                <ns5:radPr>
                  <ns5:degHide ns5:val="on"/>
                </ns5:radPr>
                <ns5:deg/>
                <ns5:e>
                  <ns5:sSup>
                    <ns5:e>
                      <ns5:r>
                        <ns5:t>s</ns5:t>
                      </ns5:r>
                    </ns5:e>
                    <ns5:sup>
                      <ns5:r>
                        <ns5:t>2</ns5:t>
                      </ns5:r>
                    </ns5:sup>
                  </ns5:sSup>
                </ns5:e>
              </ns5:rad>
            </ns5:oMath>
          </w:p>
        </w:tc>
        <w:tc>
          <w:tcPr>
            <w:tcW w:w="4190" w:type="dxa"/>
            <w:shd w:fill="FFFFFF"/>
            <w:vAlign w:val="top"/>
          </w:tcPr>
          <w:p>
            <w:pPr>
              <w:pStyle w:val="Compact"/>
              <w:keepLines/>
              <w:widowControl/>
              <w:spacing w:before="0" w:after="40" w:line="240" w:lineRule="auto"/>
              <w:jc w:val="center"/>
            </w:pPr>
            <w:r>
              <w:rPr>
                <w:sz w:val="20"/>
                <w:szCs w:val="20"/>
              </w:rPr>
              <w:t xml:space="preserve">Scale of deviations around the mean; paired with mean</w:t>
            </w:r>
          </w:p>
        </w:tc>
      </w:tr>
    </w:tbl>
    <w:bookmarkEnd w:id="31"/>
    <w:p/>
    <w:p>
      <w:pPr>
        <w:pStyle w:val="BodyText"/>
      </w:pPr>
      <w:r>
        <w:t xml:space="preserve">The values</w:t>
      </w:r>
      <w:r>
        <w:t xml:space="preserve"> </w:t>
      </w:r>
      <ns5:oMath>
        <ns5:sSub>
          <ns5:e>
            <ns5:r>
              <ns5:t>Q</ns5:t>
            </ns5:r>
          </ns5:e>
          <ns5:sub>
            <ns5:r>
              <ns5:t>1</ns5:t>
            </ns5:r>
          </ns5:sub>
        </ns5:sSub>
        <ns5:r>
          <ns5:rPr>
            <ns5:sty ns5:val="p"/>
          </ns5:rPr>
          <ns5:t>−</ns5:t>
        </ns5:r>
        <ns5:r>
          <ns5:t>1.5</ns5:t>
        </ns5:r>
        <ns5:r>
          <ns5:rPr>
            <ns5:sty ns5:val="p"/>
          </ns5:rPr>
          <ns5:t>⋅</ns5:t>
        </ns5:r>
        <ns5:r>
          <ns5:rPr>
            <ns5:nor/>
            <ns5:sty ns5:val="p"/>
          </ns5:rPr>
          <ns5:t>IQR</ns5:t>
        </ns5:r>
      </ns5:oMath>
      <w:r>
        <w:t xml:space="preserve"> </w:t>
      </w:r>
      <w:r>
        <w:t xml:space="preserve">and</w:t>
      </w:r>
      <w:r>
        <w:t xml:space="preserve"> </w:t>
      </w:r>
      <ns5:oMath>
        <ns5:sSub>
          <ns5:e>
            <ns5:r>
              <ns5:t>Q</ns5:t>
            </ns5:r>
          </ns5:e>
          <ns5:sub>
            <ns5:r>
              <ns5:t>3</ns5:t>
            </ns5:r>
          </ns5:sub>
        </ns5:sSub>
        <ns5:r>
          <ns5:rPr>
            <ns5:sty ns5:val="p"/>
          </ns5:rPr>
          <ns5:t>+</ns5:t>
        </ns5:r>
        <ns5:r>
          <ns5:t>1.5</ns5:t>
        </ns5:r>
        <ns5:r>
          <ns5:rPr>
            <ns5:sty ns5:val="p"/>
          </ns5:rPr>
          <ns5:t>⋅</ns5:t>
        </ns5:r>
        <ns5:r>
          <ns5:rPr>
            <ns5:nor/>
            <ns5:sty ns5:val="p"/>
          </ns5:rPr>
          <ns5:t>IQR</ns5:t>
        </ns5:r>
      </ns5:oMath>
      <w:r>
        <w:t xml:space="preserve"> </w:t>
      </w:r>
      <w:r>
        <w:t xml:space="preserve">define the lower and upper fences. Whiskers extend to the most extreme observations inside those fences. Values beyond the fences are plotted separately as potential outliers.</w:t>
      </w:r>
    </w:p>
    <w:p>
      <w:pPr>
        <w:pBdr>
          <w:bottom w:val="single" w:sz="4" w:space="6" w:color="B8C6CF"/>
        </w:pBdr>
        <w:spacing w:before="60" w:after="100"/>
      </w:pPr>
    </w:p>
    <w:bookmarkEnd w:id="32"/>
    <w:bookmarkStart w:id="34" w:name="linear-transformations"/>
    <w:p>
      <w:pPr>
        <w:pStyle w:val="Heading2"/>
      </w:pPr>
      <w:r>
        <w:t xml:space="preserve">Linear Transformations</w:t>
      </w:r>
    </w:p>
    <w:p>
      <w:pPr>
        <w:pStyle w:val="FirstParagraph"/>
      </w:pPr>
      <w:r>
        <w:t xml:space="preserve">A linear transformation</w:t>
      </w:r>
      <w:r>
        <w:t xml:space="preserve"> </w:t>
      </w:r>
      <ns5:oMath>
        <ns5:sSub>
          <ns5:e>
            <ns5:r>
              <ns5:t>y</ns5:t>
            </ns5:r>
          </ns5:e>
          <ns5:sub>
            <ns5:r>
              <ns5:t>i</ns5:t>
            </ns5:r>
          </ns5:sub>
        </ns5:sSub>
        <ns5:r>
          <ns5:rPr>
            <ns5:sty ns5:val="p"/>
          </ns5:rPr>
          <ns5:t>=</ns5:t>
        </ns5:r>
        <ns5:r>
          <ns5:t>a</ns5:t>
        </ns5:r>
        <ns5:r>
          <ns5:rPr>
            <ns5:sty ns5:val="p"/>
          </ns5:rPr>
          <ns5:t>+</ns5:t>
        </ns5:r>
        <ns5:r>
          <ns5:t>b</ns5:t>
        </ns5:r>
        <ns5:r>
          <ns5:rPr>
            <ns5:sty ns5:val="p"/>
          </ns5:rPr>
          <ns5:t>⋅</ns5:t>
        </ns5:r>
        <ns5:sSub>
          <ns5:e>
            <ns5:r>
              <ns5:t>x</ns5:t>
            </ns5:r>
          </ns5:e>
          <ns5:sub>
            <ns5:r>
              <ns5:t>i</ns5:t>
            </ns5:r>
          </ns5:sub>
        </ns5:sSub>
      </ns5:oMath>
      <w:r>
        <w:t xml:space="preserve"> </w:t>
      </w:r>
      <w:r>
        <w:t xml:space="preserve">has predictable effects on summary statistics:</w:t>
      </w:r>
    </w:p>
    <w:bookmarkStart w:id="33" w:name="tbl-summary-linear-transformations"/>
    <w:p>
      <w:pPr>
        <w:pStyle w:val="TableCaption"/>
        <w:keepNext/>
        <w:keepLines/>
        <w:widowControl/>
        <w:spacing w:before="120" w:after="80"/>
        <w:jc w:val="left"/>
      </w:pPr>
      <w:r>
        <w:t xml:space="preserve">Table 6: Effects of a linear transformation on descriptive statistics.</w:t>
      </w:r>
    </w:p>
    <w:tbl>
      <w:tblPr>
        <w:tblStyle w:val="RatiomeraTable"/>
        <w:tblW w:w="9524" w:type="dxa"/>
        <w:tblBorders>
          <w:top w:val="single" w:sz="6" w:space="0" w:color="9FB2BF"/>
          <w:left w:val="single" w:sz="4" w:space="0" w:color="D4DEE4"/>
          <w:bottom w:val="single" w:sz="6" w:space="0" w:color="9FB2BF"/>
          <w:right w:val="single" w:sz="4" w:space="0" w:color="D4DEE4"/>
          <w:insideH w:val="single" w:sz="4" w:space="0" w:color="D4DEE4"/>
          <w:insideV w:val="single" w:sz="4" w:space="0" w:color="D4DEE4"/>
        </w:tblBorders>
        <w:tblLayout w:val="fixed"/>
        <w:tblCellMar>
          <w:top w:w="70" w:type="dxa"/>
          <w:left w:w="110" w:type="dxa"/>
          <w:bottom w:w="70" w:type="dxa"/>
          <w:right w:w="110" w:type="dxa"/>
        </w:tblCellMar>
        <w:tblLook w:firstRow="1" w:lastRow="0" w:firstColumn="0" w:lastColumn="0" w:noHBand="0" w:noVBand="1" w:val="0220"/>
      </w:tblPr>
      <w:tblGrid>
        <w:gridCol w:w="2476"/>
        <w:gridCol w:w="3905"/>
        <w:gridCol w:w="3143"/>
      </w:tblGrid>
      <w:tr>
        <w:trPr>
          <w:cantSplit/>
          <w:tblHeader w:val="on"/>
        </w:trPr>
        <w:tc>
          <w:tcPr>
            <w:tcW w:w="2476" w:type="dxa"/>
            <w:shd w:fill="EAF2F6"/>
            <w:vAlign w:val="center"/>
          </w:tcPr>
          <w:p>
            <w:pPr>
              <w:pStyle w:val="Compact"/>
              <w:keepLines/>
              <w:widowControl/>
              <w:spacing w:before="0" w:after="40" w:line="240" w:lineRule="auto"/>
              <w:jc w:val="left"/>
            </w:pPr>
            <w:r>
              <w:rPr>
                <w:b/>
                <w:color w:val="183B56"/>
                <w:sz w:val="20"/>
                <w:szCs w:val="20"/>
              </w:rPr>
              <w:t xml:space="preserve">Quantity</w:t>
            </w:r>
          </w:p>
        </w:tc>
        <w:tc>
          <w:tcPr>
            <w:tcW w:w="3905" w:type="dxa"/>
            <w:shd w:fill="EAF2F6"/>
            <w:vAlign w:val="center"/>
          </w:tcPr>
          <w:p>
            <w:pPr>
              <w:pStyle w:val="Compact"/>
              <w:keepLines/>
              <w:widowControl/>
              <w:spacing w:before="0" w:after="40" w:line="240" w:lineRule="auto"/>
              <w:jc w:val="left"/>
            </w:pPr>
            <w:r>
              <w:rPr>
                <w:b/>
                <w:color w:val="183B56"/>
                <w:sz w:val="20"/>
                <w:szCs w:val="20"/>
              </w:rPr>
              <w:t xml:space="preserve">Transformation rule</w:t>
            </w:r>
          </w:p>
        </w:tc>
        <w:tc>
          <w:tcPr>
            <w:tcW w:w="3143" w:type="dxa"/>
            <w:shd w:fill="EAF2F6"/>
            <w:vAlign w:val="center"/>
          </w:tcPr>
          <w:p>
            <w:pPr>
              <w:pStyle w:val="Compact"/>
              <w:keepLines/>
              <w:widowControl/>
              <w:spacing w:before="0" w:after="40" w:line="240" w:lineRule="auto"/>
              <w:jc w:val="left"/>
            </w:pPr>
            <w:r>
              <w:rPr>
                <w:b/>
                <w:color w:val="183B56"/>
                <w:sz w:val="20"/>
                <w:szCs w:val="20"/>
              </w:rPr>
              <w:t xml:space="preserve">Effect</w:t>
            </w:r>
          </w:p>
        </w:tc>
      </w:tr>
      <w:tr>
        <w:trPr>
          <w:cantSplit/>
        </w:trPr>
        <w:tc>
          <w:tcPr>
            <w:tcW w:w="2476" w:type="dxa"/>
            <w:shd w:fill="F3F7F9"/>
            <w:vAlign w:val="top"/>
          </w:tcPr>
          <w:p>
            <w:pPr>
              <w:pStyle w:val="Compact"/>
              <w:keepLines/>
              <w:widowControl/>
              <w:spacing w:before="0" w:after="40" w:line="240" w:lineRule="auto"/>
              <w:jc w:val="center"/>
            </w:pPr>
            <w:r>
              <w:rPr>
                <w:sz w:val="20"/>
                <w:szCs w:val="20"/>
              </w:rPr>
              <w:t xml:space="preserve">Mean</w:t>
            </w:r>
          </w:p>
        </w:tc>
        <w:tc>
          <w:tcPr>
            <w:tcW w:w="3905" w:type="dxa"/>
            <w:shd w:fill="F3F7F9"/>
            <w:vAlign w:val="top"/>
          </w:tcPr>
          <w:p>
            <w:pPr>
              <w:pStyle w:val="Compact"/>
              <w:keepLines/>
              <w:widowControl/>
              <w:spacing w:before="0" w:after="40" w:line="240" w:lineRule="auto"/>
              <w:jc w:val="center"/>
            </w:pPr>
            <ns5:oMath>
              <ns5:acc>
                <ns5:accPr>
                  <ns5:chr ns5:val="‾"/>
                </ns5:accPr>
                <ns5:e>
                  <ns5:r>
                    <ns5:t>y</ns5:t>
                  </ns5:r>
                </ns5:e>
              </ns5:acc>
              <ns5:r>
                <ns5:rPr>
                  <ns5:sty ns5:val="p"/>
                </ns5:rPr>
                <ns5:t>=</ns5:t>
              </ns5:r>
              <ns5:r>
                <ns5:t>a</ns5:t>
              </ns5:r>
              <ns5:r>
                <ns5:rPr>
                  <ns5:sty ns5:val="p"/>
                </ns5:rPr>
                <ns5:t>+</ns5:t>
              </ns5:r>
              <ns5:r>
                <ns5:t>b</ns5:t>
              </ns5:r>
              <ns5:acc>
                <ns5:accPr>
                  <ns5:chr ns5:val="‾"/>
                </ns5:accPr>
                <ns5:e>
                  <ns5:r>
                    <ns5:t>x</ns5:t>
                  </ns5:r>
                </ns5:e>
              </ns5:acc>
            </ns5:oMath>
          </w:p>
        </w:tc>
        <w:tc>
          <w:tcPr>
            <w:tcW w:w="3143" w:type="dxa"/>
            <w:shd w:fill="F3F7F9"/>
            <w:vAlign w:val="top"/>
          </w:tcPr>
          <w:p>
            <w:pPr>
              <w:pStyle w:val="Compact"/>
              <w:keepLines/>
              <w:widowControl/>
              <w:spacing w:before="0" w:after="40" w:line="240" w:lineRule="auto"/>
              <w:jc w:val="center"/>
            </w:pPr>
            <w:r>
              <w:rPr>
                <w:sz w:val="20"/>
                <w:szCs w:val="20"/>
              </w:rPr>
              <w:t xml:space="preserve">Shifted by</w:t>
            </w:r>
            <w:r>
              <w:rPr>
                <w:sz w:val="20"/>
                <w:szCs w:val="20"/>
              </w:rPr>
              <w:t xml:space="preserve"> </w:t>
            </w:r>
            <ns5:oMath>
              <ns5:r>
                <ns5:t>a</ns5:t>
              </ns5:r>
            </ns5:oMath>
            <w:r>
              <w:rPr>
                <w:sz w:val="20"/>
                <w:szCs w:val="20"/>
              </w:rPr>
              <w:t xml:space="preserve"> </w:t>
            </w:r>
            <w:r>
              <w:rPr>
                <w:sz w:val="20"/>
                <w:szCs w:val="20"/>
              </w:rPr>
              <w:t xml:space="preserve">and scaled by</w:t>
            </w:r>
            <w:r>
              <w:rPr>
                <w:sz w:val="20"/>
                <w:szCs w:val="20"/>
              </w:rPr>
              <w:t xml:space="preserve"> </w:t>
            </w:r>
            <ns5:oMath>
              <ns5:r>
                <ns5:t>b</ns5:t>
              </ns5:r>
            </ns5:oMath>
          </w:p>
        </w:tc>
      </w:tr>
      <w:tr>
        <w:trPr>
          <w:cantSplit/>
        </w:trPr>
        <w:tc>
          <w:tcPr>
            <w:tcW w:w="2476" w:type="dxa"/>
            <w:shd w:fill="FFFFFF"/>
            <w:vAlign w:val="top"/>
          </w:tcPr>
          <w:p>
            <w:pPr>
              <w:pStyle w:val="Compact"/>
              <w:keepLines/>
              <w:widowControl/>
              <w:spacing w:before="0" w:after="40" w:line="240" w:lineRule="auto"/>
              <w:jc w:val="center"/>
            </w:pPr>
            <w:r>
              <w:rPr>
                <w:sz w:val="20"/>
                <w:szCs w:val="20"/>
              </w:rPr>
              <w:t xml:space="preserve">Variance</w:t>
            </w:r>
          </w:p>
        </w:tc>
        <w:tc>
          <w:tcPr>
            <w:tcW w:w="3905" w:type="dxa"/>
            <w:shd w:fill="FFFFFF"/>
            <w:vAlign w:val="top"/>
          </w:tcPr>
          <w:p>
            <w:pPr>
              <w:pStyle w:val="Compact"/>
              <w:keepLines/>
              <w:widowControl/>
              <w:spacing w:before="0" w:after="40" w:line="240" w:lineRule="auto"/>
              <w:jc w:val="center"/>
            </w:pPr>
            <ns5:oMath>
              <ns5:sSubSup>
                <ns5:e>
                  <ns5:r>
                    <ns5:t>s</ns5:t>
                  </ns5:r>
                </ns5:e>
                <ns5:sub>
                  <ns5:r>
                    <ns5:t>y</ns5:t>
                  </ns5:r>
                </ns5:sub>
                <ns5:sup>
                  <ns5:r>
                    <ns5:t>2</ns5:t>
                  </ns5:r>
                </ns5:sup>
              </ns5:sSubSup>
              <ns5:r>
                <ns5:rPr>
                  <ns5:sty ns5:val="p"/>
                </ns5:rPr>
                <ns5:t>=</ns5:t>
              </ns5:r>
              <ns5:sSup>
                <ns5:e>
                  <ns5:r>
                    <ns5:t>b</ns5:t>
                  </ns5:r>
                </ns5:e>
                <ns5:sup>
                  <ns5:r>
                    <ns5:t>2</ns5:t>
                  </ns5:r>
                </ns5:sup>
              </ns5:sSup>
              <ns5:sSubSup>
                <ns5:e>
                  <ns5:r>
                    <ns5:t>s</ns5:t>
                  </ns5:r>
                </ns5:e>
                <ns5:sub>
                  <ns5:r>
                    <ns5:t>x</ns5:t>
                  </ns5:r>
                </ns5:sub>
                <ns5:sup>
                  <ns5:r>
                    <ns5:t>2</ns5:t>
                  </ns5:r>
                </ns5:sup>
              </ns5:sSubSup>
            </ns5:oMath>
          </w:p>
        </w:tc>
        <w:tc>
          <w:tcPr>
            <w:tcW w:w="3143" w:type="dxa"/>
            <w:shd w:fill="FFFFFF"/>
            <w:vAlign w:val="top"/>
          </w:tcPr>
          <w:p>
            <w:pPr>
              <w:pStyle w:val="Compact"/>
              <w:keepLines/>
              <w:widowControl/>
              <w:spacing w:before="0" w:after="40" w:line="240" w:lineRule="auto"/>
              <w:jc w:val="center"/>
            </w:pPr>
            <w:r>
              <w:rPr>
                <w:sz w:val="20"/>
                <w:szCs w:val="20"/>
              </w:rPr>
              <w:t xml:space="preserve">Scaled by</w:t>
            </w:r>
            <w:r>
              <w:rPr>
                <w:sz w:val="20"/>
                <w:szCs w:val="20"/>
              </w:rPr>
              <w:t xml:space="preserve"> </w:t>
            </w:r>
            <ns5:oMath>
              <ns5:sSup>
                <ns5:e>
                  <ns5:r>
                    <ns5:t>b</ns5:t>
                  </ns5:r>
                </ns5:e>
                <ns5:sup>
                  <ns5:r>
                    <ns5:t>2</ns5:t>
                  </ns5:r>
                </ns5:sup>
              </ns5:sSup>
            </ns5:oMath>
            <w:r>
              <w:rPr>
                <w:sz w:val="20"/>
                <w:szCs w:val="20"/>
              </w:rPr>
              <w:t xml:space="preserve">; unaffected by</w:t>
            </w:r>
            <w:r>
              <w:rPr>
                <w:sz w:val="20"/>
                <w:szCs w:val="20"/>
              </w:rPr>
              <w:t xml:space="preserve"> </w:t>
            </w:r>
            <ns5:oMath>
              <ns5:r>
                <ns5:t>a</ns5:t>
              </ns5:r>
            </ns5:oMath>
          </w:p>
        </w:tc>
      </w:tr>
      <w:tr>
        <w:trPr>
          <w:cantSplit/>
        </w:trPr>
        <w:tc>
          <w:tcPr>
            <w:tcW w:w="2476" w:type="dxa"/>
            <w:shd w:fill="F3F7F9"/>
            <w:vAlign w:val="top"/>
          </w:tcPr>
          <w:p>
            <w:pPr>
              <w:pStyle w:val="Compact"/>
              <w:keepLines/>
              <w:widowControl/>
              <w:spacing w:before="0" w:after="40" w:line="240" w:lineRule="auto"/>
              <w:jc w:val="center"/>
            </w:pPr>
            <w:r>
              <w:rPr>
                <w:sz w:val="20"/>
                <w:szCs w:val="20"/>
              </w:rPr>
              <w:t xml:space="preserve">Standard deviation</w:t>
            </w:r>
          </w:p>
        </w:tc>
        <w:tc>
          <w:tcPr>
            <w:tcW w:w="3905" w:type="dxa"/>
            <w:shd w:fill="F3F7F9"/>
            <w:vAlign w:val="top"/>
          </w:tcPr>
          <w:p>
            <w:pPr>
              <w:pStyle w:val="Compact"/>
              <w:keepLines/>
              <w:widowControl/>
              <w:spacing w:before="0" w:after="40" w:line="240" w:lineRule="auto"/>
              <w:jc w:val="center"/>
            </w:pPr>
            <ns5:oMath>
              <ns5:sSub>
                <ns5:e>
                  <ns5:r>
                    <ns5:t>s</ns5:t>
                  </ns5:r>
                </ns5:e>
                <ns5:sub>
                  <ns5:r>
                    <ns5:t>y</ns5:t>
                  </ns5:r>
                </ns5:sub>
              </ns5:sSub>
              <ns5:r>
                <ns5:rPr>
                  <ns5:sty ns5:val="p"/>
                </ns5:rPr>
                <ns5:t>=</ns5:t>
              </ns5:r>
              <ns5:d>
                <ns5:dPr>
                  <ns5:begChr ns5:val="|"/>
                  <ns5:sepChr ns5:val=""/>
                  <ns5:endChr ns5:val="|"/>
                  <ns5:grow/>
                </ns5:dPr>
                <ns5:e>
                  <ns5:r>
                    <ns5:t>b</ns5:t>
                  </ns5:r>
                </ns5:e>
              </ns5:d>
              <ns5:sSub>
                <ns5:e>
                  <ns5:r>
                    <ns5:t>s</ns5:t>
                  </ns5:r>
                </ns5:e>
                <ns5:sub>
                  <ns5:r>
                    <ns5:t>x</ns5:t>
                  </ns5:r>
                </ns5:sub>
              </ns5:sSub>
            </ns5:oMath>
          </w:p>
        </w:tc>
        <w:tc>
          <w:tcPr>
            <w:tcW w:w="3143" w:type="dxa"/>
            <w:shd w:fill="F3F7F9"/>
            <w:vAlign w:val="top"/>
          </w:tcPr>
          <w:p>
            <w:pPr>
              <w:pStyle w:val="Compact"/>
              <w:keepLines/>
              <w:widowControl/>
              <w:spacing w:before="0" w:after="40" w:line="240" w:lineRule="auto"/>
              <w:jc w:val="center"/>
            </w:pPr>
            <w:r>
              <w:rPr>
                <w:sz w:val="20"/>
                <w:szCs w:val="20"/>
              </w:rPr>
              <w:t xml:space="preserve">Scaled by</w:t>
            </w:r>
            <w:r>
              <w:rPr>
                <w:sz w:val="20"/>
                <w:szCs w:val="20"/>
              </w:rPr>
              <w:t xml:space="preserve"> </w:t>
            </w:r>
            <ns5:oMath>
              <ns5:d>
                <ns5:dPr>
                  <ns5:begChr ns5:val="|"/>
                  <ns5:sepChr ns5:val=""/>
                  <ns5:endChr ns5:val="|"/>
                  <ns5:grow/>
                </ns5:dPr>
                <ns5:e>
                  <ns5:r>
                    <ns5:t>b</ns5:t>
                  </ns5:r>
                </ns5:e>
              </ns5:d>
            </ns5:oMath>
            <w:r>
              <w:rPr>
                <w:sz w:val="20"/>
                <w:szCs w:val="20"/>
              </w:rPr>
              <w:t xml:space="preserve">; unaffected by</w:t>
            </w:r>
            <w:r>
              <w:rPr>
                <w:sz w:val="20"/>
                <w:szCs w:val="20"/>
              </w:rPr>
              <w:t xml:space="preserve"> </w:t>
            </w:r>
            <ns5:oMath>
              <ns5:r>
                <ns5:t>a</ns5:t>
              </ns5:r>
            </ns5:oMath>
          </w:p>
        </w:tc>
      </w:tr>
      <w:tr>
        <w:trPr>
          <w:cantSplit/>
        </w:trPr>
        <w:tc>
          <w:tcPr>
            <w:tcW w:w="2476" w:type="dxa"/>
            <w:shd w:fill="FFFFFF"/>
            <w:vAlign w:val="top"/>
          </w:tcPr>
          <w:p>
            <w:pPr>
              <w:pStyle w:val="Compact"/>
              <w:keepLines/>
              <w:widowControl/>
              <w:spacing w:before="0" w:after="40" w:line="240" w:lineRule="auto"/>
              <w:jc w:val="center"/>
            </w:pPr>
            <w:r>
              <w:rPr>
                <w:sz w:val="20"/>
                <w:szCs w:val="20"/>
              </w:rPr>
              <w:t xml:space="preserve">Rank and orientation</w:t>
            </w:r>
          </w:p>
        </w:tc>
        <w:tc>
          <w:tcPr>
            <w:tcW w:w="3905" w:type="dxa"/>
            <w:shd w:fill="FFFFFF"/>
            <w:vAlign w:val="top"/>
          </w:tcPr>
          <w:p>
            <w:pPr>
              <w:pStyle w:val="Compact"/>
              <w:keepLines/>
              <w:widowControl/>
              <w:spacing w:before="0" w:after="40" w:line="240" w:lineRule="auto"/>
              <w:jc w:val="center"/>
            </w:pPr>
            <w:r>
              <w:rPr>
                <w:sz w:val="20"/>
                <w:szCs w:val="20"/>
              </w:rPr>
              <w:t xml:space="preserve">Preserved when</w:t>
            </w:r>
            <w:r>
              <w:rPr>
                <w:sz w:val="20"/>
                <w:szCs w:val="20"/>
              </w:rPr>
              <w:t xml:space="preserve"> </w:t>
            </w:r>
            <ns5:oMath>
              <ns5:r>
                <ns5:t>b</ns5:t>
              </ns5:r>
              <ns5:r>
                <ns5:rPr>
                  <ns5:sty ns5:val="p"/>
                </ns5:rPr>
                <ns5:t>&gt;</ns5:t>
              </ns5:r>
              <ns5:r>
                <ns5:t>0</ns5:t>
              </ns5:r>
            </ns5:oMath>
          </w:p>
        </w:tc>
        <w:tc>
          <w:tcPr>
            <w:tcW w:w="3143" w:type="dxa"/>
            <w:shd w:fill="FFFFFF"/>
            <w:vAlign w:val="top"/>
          </w:tcPr>
          <w:p>
            <w:pPr>
              <w:pStyle w:val="Compact"/>
              <w:keepLines/>
              <w:widowControl/>
              <w:spacing w:before="0" w:after="40" w:line="240" w:lineRule="auto"/>
              <w:jc w:val="center"/>
            </w:pPr>
            <w:r>
              <w:rPr>
                <w:sz w:val="20"/>
                <w:szCs w:val="20"/>
              </w:rPr>
              <w:t xml:space="preserve">Reversed when</w:t>
            </w:r>
            <w:r>
              <w:rPr>
                <w:sz w:val="20"/>
                <w:szCs w:val="20"/>
              </w:rPr>
              <w:t xml:space="preserve"> </w:t>
            </w:r>
            <ns5:oMath>
              <ns5:r>
                <ns5:t>b</ns5:t>
              </ns5:r>
              <ns5:r>
                <ns5:rPr>
                  <ns5:sty ns5:val="p"/>
                </ns5:rPr>
                <ns5:t>&lt;</ns5:t>
              </ns5:r>
              <ns5:r>
                <ns5:t>0</ns5:t>
              </ns5:r>
            </ns5:oMath>
          </w:p>
        </w:tc>
      </w:tr>
    </w:tbl>
    <w:bookmarkEnd w:id="33"/>
    <w:p/>
    <w:p>
      <w:pPr>
        <w:pStyle w:val="BodyText"/>
      </w:pPr>
      <w:r>
        <w:t xml:space="preserve">The transformed mean follows</w:t>
      </w:r>
      <w:r>
        <w:t xml:space="preserve"> </w:t>
      </w:r>
      <ns5:oMath>
        <ns5:acc>
          <ns5:accPr>
            <ns5:chr ns5:val="‾"/>
          </ns5:accPr>
          <ns5:e>
            <ns5:r>
              <ns5:t>y</ns5:t>
            </ns5:r>
          </ns5:e>
        </ns5:acc>
        <ns5:r>
          <ns5:rPr>
            <ns5:sty ns5:val="p"/>
          </ns5:rPr>
          <ns5:t>=</ns5:t>
        </ns5:r>
        <ns5:r>
          <ns5:t>a</ns5:t>
        </ns5:r>
        <ns5:r>
          <ns5:rPr>
            <ns5:sty ns5:val="p"/>
          </ns5:rPr>
          <ns5:t>+</ns5:t>
        </ns5:r>
        <ns5:r>
          <ns5:t>b</ns5:t>
        </ns5:r>
        <ns5:acc>
          <ns5:accPr>
            <ns5:chr ns5:val="‾"/>
          </ns5:accPr>
          <ns5:e>
            <ns5:r>
              <ns5:t>x</ns5:t>
            </ns5:r>
          </ns5:e>
        </ns5:acc>
      </ns5:oMath>
      <w:r>
        <w:t xml:space="preserve">. The shift</w:t>
      </w:r>
      <w:r>
        <w:t xml:space="preserve"> </w:t>
      </w:r>
      <ns5:oMath>
        <ns5:r>
          <ns5:t>a</ns5:t>
        </ns5:r>
      </ns5:oMath>
      <w:r>
        <w:t xml:space="preserve"> </w:t>
      </w:r>
      <w:r>
        <w:t xml:space="preserve">moves the mean but does not affect variability, while</w:t>
      </w:r>
      <w:r>
        <w:t xml:space="preserve"> </w:t>
      </w:r>
      <ns5:oMath>
        <ns5:d>
          <ns5:dPr>
            <ns5:begChr ns5:val="|"/>
            <ns5:sepChr ns5:val=""/>
            <ns5:endChr ns5:val="|"/>
            <ns5:grow/>
          </ns5:dPr>
          <ns5:e>
            <ns5:r>
              <ns5:t>b</ns5:t>
            </ns5:r>
          </ns5:e>
        </ns5:d>
      </ns5:oMath>
      <w:r>
        <w:t xml:space="preserve"> </w:t>
      </w:r>
      <w:r>
        <w:t xml:space="preserve">scales distances and the standard deviation. A negative</w:t>
      </w:r>
      <w:r>
        <w:t xml:space="preserve"> </w:t>
      </w:r>
      <ns5:oMath>
        <ns5:r>
          <ns5:t>b</ns5:t>
        </ns5:r>
      </ns5:oMath>
      <w:r>
        <w:t xml:space="preserve"> </w:t>
      </w:r>
      <w:r>
        <w:t xml:space="preserve">also reflects the distribution and reverses ranks.</w:t>
      </w:r>
    </w:p>
    <w:p>
      <w:pPr>
        <w:pBdr>
          <w:bottom w:val="single" w:sz="4" w:space="6" w:color="B8C6CF"/>
        </w:pBdr>
        <w:spacing w:before="60" w:after="100"/>
      </w:pPr>
    </w:p>
    <w:bookmarkEnd w:id="34"/>
    <w:bookmarkStart w:id="35" w:name="z-transformation"/>
    <w:p>
      <w:pPr>
        <w:pStyle w:val="Heading2"/>
      </w:pPr>
      <w:r>
        <w:t xml:space="preserve">Z-Transformation</w:t>
      </w:r>
    </w:p>
    <w:p>
      <w:pPr>
        <w:pStyle w:val="FirstParagraph"/>
      </w:pPr>
      <w:r>
        <w:t xml:space="preserve">For a nonconstant sample with a defined, nonzero</w:t>
      </w:r>
      <w:r>
        <w:t xml:space="preserve"> </w:t>
      </w:r>
      <ns5:oMath>
        <ns5:r>
          <ns5:t>s</ns5:t>
        </ns5:r>
      </ns5:oMath>
      <w:r>
        <w:t xml:space="preserve">, the z-transformation</w:t>
      </w:r>
      <w:r>
        <w:t xml:space="preserve"> </w:t>
      </w:r>
      <ns5:oMath>
        <ns5:sSub>
          <ns5:e>
            <ns5:r>
              <ns5:t>z</ns5:t>
            </ns5:r>
          </ns5:e>
          <ns5:sub>
            <ns5:r>
              <ns5:t>i</ns5:t>
            </ns5:r>
          </ns5:sub>
        </ns5:sSub>
        <ns5:r>
          <ns5:rPr>
            <ns5:sty ns5:val="p"/>
          </ns5:rPr>
          <ns5:t>=</ns5:t>
        </ns5:r>
        <ns5:d>
          <ns5:dPr>
            <ns5:begChr ns5:val="("/>
            <ns5:sepChr ns5:val=""/>
            <ns5:endChr ns5:val=")"/>
            <ns5:grow/>
          </ns5:dPr>
          <ns5:e>
            <ns5:sSub>
              <ns5:e>
                <ns5:r>
                  <ns5:t>x</ns5:t>
                </ns5:r>
              </ns5:e>
              <ns5:sub>
                <ns5:r>
                  <ns5:t>i</ns5:t>
                </ns5:r>
              </ns5:sub>
            </ns5:sSub>
            <ns5:r>
              <ns5:rPr>
                <ns5:sty ns5:val="p"/>
              </ns5:rPr>
              <ns5:t>−</ns5:t>
            </ns5:r>
            <ns5:acc>
              <ns5:accPr>
                <ns5:chr ns5:val="‾"/>
              </ns5:accPr>
              <ns5:e>
                <ns5:r>
                  <ns5:t>x</ns5:t>
                </ns5:r>
              </ns5:e>
            </ns5:acc>
          </ns5:e>
        </ns5:d>
        <ns5:r>
          <ns5:rPr>
            <ns5:sty ns5:val="p"/>
          </ns5:rPr>
          <ns5:t>/</ns5:t>
        </ns5:r>
        <ns5:r>
          <ns5:t>s</ns5:t>
        </ns5:r>
      </ns5:oMath>
      <w:r>
        <w:t xml:space="preserve"> </w:t>
      </w:r>
      <w:r>
        <w:t xml:space="preserve">produces a sample mean of 0 and a sample SD of 1.</w:t>
      </w:r>
    </w:p>
    <w:p>
      <w:pPr>
        <w:pStyle w:val="BodyText"/>
      </w:pPr>
      <w:r>
        <w:t xml:space="preserve">A z-score tells you how many standard deviations above or below the reference mean an observation lies. Comparing z-scores across instruments requires the same construct, suitable reference groups, and comparable measurement quality.</w:t>
      </w:r>
    </w:p>
    <w:p>
      <w:pPr>
        <w:pBdr>
          <w:bottom w:val="single" w:sz="4" w:space="6" w:color="B8C6CF"/>
        </w:pBdr>
        <w:spacing w:before="60" w:after="100"/>
      </w:pPr>
    </w:p>
    <w:bookmarkEnd w:id="35"/>
    <w:bookmarkStart w:id="37" w:name="diagram-selection-by-scale-level"/>
    <w:p>
      <w:pPr>
        <w:pStyle w:val="Heading2"/>
      </w:pPr>
      <w:r>
        <w:t xml:space="preserve">Diagram Selection by Scale Level</w:t>
      </w:r>
    </w:p>
    <w:bookmarkStart w:id="36" w:name="tbl-summary-diagrams"/>
    <w:p>
      <w:pPr>
        <w:pStyle w:val="TableCaption"/>
        <w:keepNext/>
        <w:keepLines/>
        <w:widowControl/>
        <w:spacing w:before="120" w:after="80"/>
        <w:jc w:val="left"/>
      </w:pPr>
      <w:r>
        <w:t xml:space="preserve">Table 7: Diagram selection by measurement level.</w:t>
      </w:r>
    </w:p>
    <w:tbl>
      <w:tblPr>
        <w:tblStyle w:val="RatiomeraTable"/>
        <w:tblW w:w="9524" w:type="dxa"/>
        <w:tblBorders>
          <w:top w:val="single" w:sz="6" w:space="0" w:color="9FB2BF"/>
          <w:left w:val="single" w:sz="4" w:space="0" w:color="D4DEE4"/>
          <w:bottom w:val="single" w:sz="6" w:space="0" w:color="9FB2BF"/>
          <w:right w:val="single" w:sz="4" w:space="0" w:color="D4DEE4"/>
          <w:insideH w:val="single" w:sz="4" w:space="0" w:color="D4DEE4"/>
          <w:insideV w:val="single" w:sz="4" w:space="0" w:color="D4DEE4"/>
        </w:tblBorders>
        <w:tblLayout w:val="fixed"/>
        <w:tblCellMar>
          <w:top w:w="70" w:type="dxa"/>
          <w:left w:w="110" w:type="dxa"/>
          <w:bottom w:w="70" w:type="dxa"/>
          <w:right w:w="110" w:type="dxa"/>
        </w:tblCellMar>
        <w:tblLook w:firstRow="1" w:lastRow="0" w:firstColumn="0" w:lastColumn="0" w:noHBand="0" w:noVBand="1" w:val="0220"/>
      </w:tblPr>
      <w:tblGrid>
        <w:gridCol w:w="3905"/>
        <w:gridCol w:w="5619"/>
      </w:tblGrid>
      <w:tr>
        <w:trPr>
          <w:cantSplit/>
          <w:tblHeader w:val="on"/>
        </w:trPr>
        <w:tc>
          <w:tcPr>
            <w:tcW w:w="3905" w:type="dxa"/>
            <w:shd w:fill="EAF2F6"/>
            <w:vAlign w:val="center"/>
          </w:tcPr>
          <w:p>
            <w:pPr>
              <w:pStyle w:val="Compact"/>
              <w:keepLines/>
              <w:widowControl/>
              <w:spacing w:before="0" w:after="40" w:line="240" w:lineRule="auto"/>
              <w:jc w:val="left"/>
            </w:pPr>
            <w:r>
              <w:rPr>
                <w:b/>
                <w:color w:val="183B56"/>
                <w:sz w:val="20"/>
                <w:szCs w:val="20"/>
              </w:rPr>
              <w:t xml:space="preserve">Scale level</w:t>
            </w:r>
          </w:p>
        </w:tc>
        <w:tc>
          <w:tcPr>
            <w:tcW w:w="5619" w:type="dxa"/>
            <w:shd w:fill="EAF2F6"/>
            <w:vAlign w:val="center"/>
          </w:tcPr>
          <w:p>
            <w:pPr>
              <w:pStyle w:val="Compact"/>
              <w:keepLines/>
              <w:widowControl/>
              <w:spacing w:before="0" w:after="40" w:line="240" w:lineRule="auto"/>
              <w:jc w:val="left"/>
            </w:pPr>
            <w:r>
              <w:rPr>
                <w:b/>
                <w:color w:val="183B56"/>
                <w:sz w:val="20"/>
                <w:szCs w:val="20"/>
              </w:rPr>
              <w:t xml:space="preserve">Appropriate diagram</w:t>
            </w:r>
          </w:p>
        </w:tc>
      </w:tr>
      <w:tr>
        <w:trPr>
          <w:cantSplit/>
        </w:trPr>
        <w:tc>
          <w:tcPr>
            <w:tcW w:w="3905" w:type="dxa"/>
            <w:shd w:fill="F3F7F9"/>
            <w:vAlign w:val="top"/>
          </w:tcPr>
          <w:p>
            <w:pPr>
              <w:pStyle w:val="Compact"/>
              <w:keepLines/>
              <w:widowControl/>
              <w:spacing w:before="0" w:after="40" w:line="240" w:lineRule="auto"/>
              <w:jc w:val="center"/>
            </w:pPr>
            <w:r>
              <w:rPr>
                <w:sz w:val="20"/>
                <w:szCs w:val="20"/>
              </w:rPr>
              <w:t xml:space="preserve">Nominal</w:t>
            </w:r>
          </w:p>
        </w:tc>
        <w:tc>
          <w:tcPr>
            <w:tcW w:w="5619" w:type="dxa"/>
            <w:shd w:fill="F3F7F9"/>
            <w:vAlign w:val="top"/>
          </w:tcPr>
          <w:p>
            <w:pPr>
              <w:pStyle w:val="Compact"/>
              <w:keepLines/>
              <w:widowControl/>
              <w:spacing w:before="0" w:after="40" w:line="240" w:lineRule="auto"/>
              <w:jc w:val="center"/>
            </w:pPr>
            <w:r>
              <w:rPr>
                <w:sz w:val="20"/>
                <w:szCs w:val="20"/>
              </w:rPr>
              <w:t xml:space="preserve">Bar chart, pie chart</w:t>
            </w:r>
          </w:p>
        </w:tc>
      </w:tr>
      <w:tr>
        <w:trPr>
          <w:cantSplit/>
        </w:trPr>
        <w:tc>
          <w:tcPr>
            <w:tcW w:w="3905" w:type="dxa"/>
            <w:shd w:fill="FFFFFF"/>
            <w:vAlign w:val="top"/>
          </w:tcPr>
          <w:p>
            <w:pPr>
              <w:pStyle w:val="Compact"/>
              <w:keepLines/>
              <w:widowControl/>
              <w:spacing w:before="0" w:after="40" w:line="240" w:lineRule="auto"/>
              <w:jc w:val="center"/>
            </w:pPr>
            <w:r>
              <w:rPr>
                <w:sz w:val="20"/>
                <w:szCs w:val="20"/>
              </w:rPr>
              <w:t xml:space="preserve">Ordinal</w:t>
            </w:r>
          </w:p>
        </w:tc>
        <w:tc>
          <w:tcPr>
            <w:tcW w:w="5619" w:type="dxa"/>
            <w:shd w:fill="FFFFFF"/>
            <w:vAlign w:val="top"/>
          </w:tcPr>
          <w:p>
            <w:pPr>
              <w:pStyle w:val="Compact"/>
              <w:keepLines/>
              <w:widowControl/>
              <w:spacing w:before="0" w:after="40" w:line="240" w:lineRule="auto"/>
              <w:jc w:val="center"/>
            </w:pPr>
            <w:r>
              <w:rPr>
                <w:sz w:val="20"/>
                <w:szCs w:val="20"/>
              </w:rPr>
              <w:t xml:space="preserve">Ordered bar chart</w:t>
            </w:r>
          </w:p>
        </w:tc>
      </w:tr>
      <w:tr>
        <w:trPr>
          <w:cantSplit/>
        </w:trPr>
        <w:tc>
          <w:tcPr>
            <w:tcW w:w="3905" w:type="dxa"/>
            <w:shd w:fill="F3F7F9"/>
            <w:vAlign w:val="top"/>
          </w:tcPr>
          <w:p>
            <w:pPr>
              <w:pStyle w:val="Compact"/>
              <w:keepLines/>
              <w:widowControl/>
              <w:spacing w:before="0" w:after="40" w:line="240" w:lineRule="auto"/>
              <w:jc w:val="center"/>
            </w:pPr>
            <w:r>
              <w:rPr>
                <w:sz w:val="20"/>
                <w:szCs w:val="20"/>
              </w:rPr>
              <w:t xml:space="preserve">Metric (interval, ratio, absolute)</w:t>
            </w:r>
          </w:p>
        </w:tc>
        <w:tc>
          <w:tcPr>
            <w:tcW w:w="5619" w:type="dxa"/>
            <w:shd w:fill="F3F7F9"/>
            <w:vAlign w:val="top"/>
          </w:tcPr>
          <w:p>
            <w:pPr>
              <w:pStyle w:val="Compact"/>
              <w:keepLines/>
              <w:widowControl/>
              <w:spacing w:before="0" w:after="40" w:line="240" w:lineRule="auto"/>
              <w:jc w:val="center"/>
            </w:pPr>
            <w:r>
              <w:rPr>
                <w:sz w:val="20"/>
                <w:szCs w:val="20"/>
              </w:rPr>
              <w:t xml:space="preserve">Histogram, boxplot</w:t>
            </w:r>
          </w:p>
        </w:tc>
      </w:tr>
    </w:tbl>
    <w:bookmarkEnd w:id="36"/>
    <w:p/>
    <w:p>
      <w:pPr>
        <w:pStyle w:val="BodyText"/>
      </w:pPr>
      <w:r>
        <w:t xml:space="preserve">In histograms,</w:t>
      </w:r>
      <w:r>
        <w:t xml:space="preserve"> </w:t>
      </w:r>
      <w:r>
        <w:rPr>
          <w:b/>
          <w:bCs/>
        </w:rPr>
        <w:t xml:space="preserve">area is proportional to frequency</w:t>
      </w:r>
      <w:r>
        <w:t xml:space="preserve">. With equal bin widths, height and area both encode frequency correctly. With unequal widths, density height is</w:t>
      </w:r>
      <w:r>
        <w:t xml:space="preserve"> </w:t>
      </w:r>
      <ns5:oMath>
        <ns5:sSub>
          <ns5:e>
            <ns5:r>
              <ns5:t>f</ns5:t>
            </ns5:r>
          </ns5:e>
          <ns5:sub>
            <ns5:r>
              <ns5:t>j</ns5:t>
            </ns5:r>
          </ns5:sub>
        </ns5:sSub>
        <ns5:r>
          <ns5:rPr>
            <ns5:sty ns5:val="p"/>
          </ns5:rPr>
          <ns5:t>/</ns5:t>
        </ns5:r>
        <ns5:sSub>
          <ns5:e>
            <ns5:r>
              <ns5:t>w</ns5:t>
            </ns5:r>
          </ns5:e>
          <ns5:sub>
            <ns5:r>
              <ns5:t>j</ns5:t>
            </ns5:r>
          </ns5:sub>
        </ns5:sSub>
      </ns5:oMath>
      <w:r>
        <w:t xml:space="preserve">. Compare sensible bin widths because the apparent shape can change with the grouping.</w:t>
      </w:r>
    </w:p>
    <w:p>
      <w:pPr>
        <w:pBdr>
          <w:bottom w:val="single" w:sz="4" w:space="6" w:color="B8C6CF"/>
        </w:pBdr>
        <w:spacing w:before="60" w:after="100"/>
      </w:pPr>
    </w:p>
    <w:bookmarkEnd w:id="37"/>
    <w:bookmarkStart w:id="39" w:name="distribution-shapes"/>
    <w:p>
      <w:pPr>
        <w:pStyle w:val="Heading2"/>
      </w:pPr>
      <w:r>
        <w:t xml:space="preserve">Distribution Shapes</w:t>
      </w:r>
    </w:p>
    <w:bookmarkStart w:id="38" w:name="tbl-summary-distribution-shapes"/>
    <w:p>
      <w:pPr>
        <w:pStyle w:val="TableCaption"/>
        <w:keepNext/>
        <w:keepLines/>
        <w:widowControl/>
        <w:spacing w:before="120" w:after="80"/>
        <w:jc w:val="left"/>
      </w:pPr>
      <w:r>
        <w:t xml:space="preserve">Table 8: Independent dimensions used to describe distribution shape.</w:t>
      </w:r>
    </w:p>
    <w:tbl>
      <w:tblPr>
        <w:tblStyle w:val="RatiomeraTable"/>
        <w:tblW w:w="9524" w:type="dxa"/>
        <w:tblBorders>
          <w:top w:val="single" w:sz="6" w:space="0" w:color="9FB2BF"/>
          <w:left w:val="single" w:sz="4" w:space="0" w:color="D4DEE4"/>
          <w:bottom w:val="single" w:sz="6" w:space="0" w:color="9FB2BF"/>
          <w:right w:val="single" w:sz="4" w:space="0" w:color="D4DEE4"/>
          <w:insideH w:val="single" w:sz="4" w:space="0" w:color="D4DEE4"/>
          <w:insideV w:val="single" w:sz="4" w:space="0" w:color="D4DEE4"/>
        </w:tblBorders>
        <w:tblLayout w:val="fixed"/>
        <w:tblCellMar>
          <w:top w:w="70" w:type="dxa"/>
          <w:left w:w="110" w:type="dxa"/>
          <w:bottom w:w="70" w:type="dxa"/>
          <w:right w:w="110" w:type="dxa"/>
        </w:tblCellMar>
        <w:tblLook w:firstRow="1" w:lastRow="0" w:firstColumn="0" w:lastColumn="0" w:noHBand="0" w:noVBand="1" w:val="0220"/>
      </w:tblPr>
      <w:tblGrid>
        <w:gridCol w:w="2476"/>
        <w:gridCol w:w="3143"/>
        <w:gridCol w:w="3905"/>
      </w:tblGrid>
      <w:tr>
        <w:trPr>
          <w:cantSplit/>
          <w:tblHeader w:val="on"/>
        </w:trPr>
        <w:tc>
          <w:tcPr>
            <w:tcW w:w="2476" w:type="dxa"/>
            <w:shd w:fill="EAF2F6"/>
            <w:vAlign w:val="center"/>
          </w:tcPr>
          <w:p>
            <w:pPr>
              <w:pStyle w:val="Compact"/>
              <w:keepLines/>
              <w:widowControl/>
              <w:spacing w:before="0" w:after="40" w:line="240" w:lineRule="auto"/>
              <w:jc w:val="left"/>
            </w:pPr>
            <w:r>
              <w:rPr>
                <w:b/>
                <w:color w:val="183B56"/>
                <w:sz w:val="20"/>
                <w:szCs w:val="20"/>
              </w:rPr>
              <w:t xml:space="preserve">Shape</w:t>
            </w:r>
          </w:p>
        </w:tc>
        <w:tc>
          <w:tcPr>
            <w:tcW w:w="3143" w:type="dxa"/>
            <w:shd w:fill="EAF2F6"/>
            <w:vAlign w:val="center"/>
          </w:tcPr>
          <w:p>
            <w:pPr>
              <w:pStyle w:val="Compact"/>
              <w:keepLines/>
              <w:widowControl/>
              <w:spacing w:before="0" w:after="40" w:line="240" w:lineRule="auto"/>
              <w:jc w:val="left"/>
            </w:pPr>
            <w:r>
              <w:rPr>
                <w:b/>
                <w:color w:val="183B56"/>
                <w:sz w:val="20"/>
                <w:szCs w:val="20"/>
              </w:rPr>
              <w:t xml:space="preserve">Key feature</w:t>
            </w:r>
          </w:p>
        </w:tc>
        <w:tc>
          <w:tcPr>
            <w:tcW w:w="3905" w:type="dxa"/>
            <w:shd w:fill="EAF2F6"/>
            <w:vAlign w:val="center"/>
          </w:tcPr>
          <w:p>
            <w:pPr>
              <w:pStyle w:val="Compact"/>
              <w:keepLines/>
              <w:widowControl/>
              <w:spacing w:before="0" w:after="40" w:line="240" w:lineRule="auto"/>
              <w:jc w:val="left"/>
            </w:pPr>
            <w:r>
              <w:rPr>
                <w:b/>
                <w:color w:val="183B56"/>
                <w:sz w:val="20"/>
                <w:szCs w:val="20"/>
              </w:rPr>
              <w:t xml:space="preserve">Interpretive implication</w:t>
            </w:r>
          </w:p>
        </w:tc>
      </w:tr>
      <w:tr>
        <w:trPr>
          <w:cantSplit/>
        </w:trPr>
        <w:tc>
          <w:tcPr>
            <w:tcW w:w="2476" w:type="dxa"/>
            <w:shd w:fill="F3F7F9"/>
            <w:vAlign w:val="top"/>
          </w:tcPr>
          <w:p>
            <w:pPr>
              <w:pStyle w:val="Compact"/>
              <w:keepLines/>
              <w:widowControl/>
              <w:spacing w:before="0" w:after="40" w:line="240" w:lineRule="auto"/>
              <w:jc w:val="center"/>
            </w:pPr>
            <w:r>
              <w:rPr>
                <w:sz w:val="20"/>
                <w:szCs w:val="20"/>
              </w:rPr>
              <w:t xml:space="preserve">Symmetric</w:t>
            </w:r>
          </w:p>
        </w:tc>
        <w:tc>
          <w:tcPr>
            <w:tcW w:w="3143" w:type="dxa"/>
            <w:shd w:fill="F3F7F9"/>
            <w:vAlign w:val="top"/>
          </w:tcPr>
          <w:p>
            <w:pPr>
              <w:pStyle w:val="Compact"/>
              <w:keepLines/>
              <w:widowControl/>
              <w:spacing w:before="0" w:after="40" w:line="240" w:lineRule="auto"/>
              <w:jc w:val="center"/>
            </w:pPr>
            <w:r>
              <w:rPr>
                <w:sz w:val="20"/>
                <w:szCs w:val="20"/>
              </w:rPr>
              <w:t xml:space="preserve">Equal tails on both sides</w:t>
            </w:r>
          </w:p>
        </w:tc>
        <w:tc>
          <w:tcPr>
            <w:tcW w:w="3905" w:type="dxa"/>
            <w:shd w:fill="F3F7F9"/>
            <w:vAlign w:val="top"/>
          </w:tcPr>
          <w:p>
            <w:pPr>
              <w:pStyle w:val="Compact"/>
              <w:keepLines/>
              <w:widowControl/>
              <w:spacing w:before="0" w:after="40" w:line="240" w:lineRule="auto"/>
              <w:jc w:val="center"/>
            </w:pPr>
            <w:r>
              <w:rPr>
                <w:sz w:val="20"/>
                <w:szCs w:val="20"/>
              </w:rPr>
              <w:t xml:space="preserve">Mean and median are close</w:t>
            </w:r>
          </w:p>
        </w:tc>
      </w:tr>
      <w:tr>
        <w:trPr>
          <w:cantSplit/>
        </w:trPr>
        <w:tc>
          <w:tcPr>
            <w:tcW w:w="2476" w:type="dxa"/>
            <w:shd w:fill="FFFFFF"/>
            <w:vAlign w:val="top"/>
          </w:tcPr>
          <w:p>
            <w:pPr>
              <w:pStyle w:val="Compact"/>
              <w:keepLines/>
              <w:widowControl/>
              <w:spacing w:before="0" w:after="40" w:line="240" w:lineRule="auto"/>
              <w:jc w:val="center"/>
            </w:pPr>
            <w:r>
              <w:rPr>
                <w:sz w:val="20"/>
                <w:szCs w:val="20"/>
              </w:rPr>
              <w:t xml:space="preserve">Right-skewed</w:t>
            </w:r>
          </w:p>
        </w:tc>
        <w:tc>
          <w:tcPr>
            <w:tcW w:w="3143" w:type="dxa"/>
            <w:shd w:fill="FFFFFF"/>
            <w:vAlign w:val="top"/>
          </w:tcPr>
          <w:p>
            <w:pPr>
              <w:pStyle w:val="Compact"/>
              <w:keepLines/>
              <w:widowControl/>
              <w:spacing w:before="0" w:after="40" w:line="240" w:lineRule="auto"/>
              <w:jc w:val="center"/>
            </w:pPr>
            <w:r>
              <w:rPr>
                <w:sz w:val="20"/>
                <w:szCs w:val="20"/>
              </w:rPr>
              <w:t xml:space="preserve">Long tail toward high values</w:t>
            </w:r>
          </w:p>
        </w:tc>
        <w:tc>
          <w:tcPr>
            <w:tcW w:w="3905" w:type="dxa"/>
            <w:shd w:fill="FFFFFF"/>
            <w:vAlign w:val="top"/>
          </w:tcPr>
          <w:p>
            <w:pPr>
              <w:pStyle w:val="Compact"/>
              <w:keepLines/>
              <w:widowControl/>
              <w:spacing w:before="0" w:after="40" w:line="240" w:lineRule="auto"/>
              <w:jc w:val="center"/>
            </w:pPr>
            <w:r>
              <w:rPr>
                <w:sz w:val="20"/>
                <w:szCs w:val="20"/>
              </w:rPr>
              <w:t xml:space="preserve">Mean often exceeds median; verify visually</w:t>
            </w:r>
          </w:p>
        </w:tc>
      </w:tr>
      <w:tr>
        <w:trPr>
          <w:cantSplit/>
        </w:trPr>
        <w:tc>
          <w:tcPr>
            <w:tcW w:w="2476" w:type="dxa"/>
            <w:shd w:fill="F3F7F9"/>
            <w:vAlign w:val="top"/>
          </w:tcPr>
          <w:p>
            <w:pPr>
              <w:pStyle w:val="Compact"/>
              <w:keepLines/>
              <w:widowControl/>
              <w:spacing w:before="0" w:after="40" w:line="240" w:lineRule="auto"/>
              <w:jc w:val="center"/>
            </w:pPr>
            <w:r>
              <w:rPr>
                <w:sz w:val="20"/>
                <w:szCs w:val="20"/>
              </w:rPr>
              <w:t xml:space="preserve">Left-skewed</w:t>
            </w:r>
          </w:p>
        </w:tc>
        <w:tc>
          <w:tcPr>
            <w:tcW w:w="3143" w:type="dxa"/>
            <w:shd w:fill="F3F7F9"/>
            <w:vAlign w:val="top"/>
          </w:tcPr>
          <w:p>
            <w:pPr>
              <w:pStyle w:val="Compact"/>
              <w:keepLines/>
              <w:widowControl/>
              <w:spacing w:before="0" w:after="40" w:line="240" w:lineRule="auto"/>
              <w:jc w:val="center"/>
            </w:pPr>
            <w:r>
              <w:rPr>
                <w:sz w:val="20"/>
                <w:szCs w:val="20"/>
              </w:rPr>
              <w:t xml:space="preserve">Long tail toward low values</w:t>
            </w:r>
          </w:p>
        </w:tc>
        <w:tc>
          <w:tcPr>
            <w:tcW w:w="3905" w:type="dxa"/>
            <w:shd w:fill="F3F7F9"/>
            <w:vAlign w:val="top"/>
          </w:tcPr>
          <w:p>
            <w:pPr>
              <w:pStyle w:val="Compact"/>
              <w:keepLines/>
              <w:widowControl/>
              <w:spacing w:before="0" w:after="40" w:line="240" w:lineRule="auto"/>
              <w:jc w:val="center"/>
            </w:pPr>
            <w:r>
              <w:rPr>
                <w:sz w:val="20"/>
                <w:szCs w:val="20"/>
              </w:rPr>
              <w:t xml:space="preserve">Mean often falls below median; verify visually</w:t>
            </w:r>
          </w:p>
        </w:tc>
      </w:tr>
      <w:tr>
        <w:trPr>
          <w:cantSplit/>
        </w:trPr>
        <w:tc>
          <w:tcPr>
            <w:tcW w:w="2476" w:type="dxa"/>
            <w:shd w:fill="FFFFFF"/>
            <w:vAlign w:val="top"/>
          </w:tcPr>
          <w:p>
            <w:pPr>
              <w:pStyle w:val="Compact"/>
              <w:keepLines/>
              <w:widowControl/>
              <w:spacing w:before="0" w:after="40" w:line="240" w:lineRule="auto"/>
              <w:jc w:val="center"/>
            </w:pPr>
            <w:r>
              <w:rPr>
                <w:sz w:val="20"/>
                <w:szCs w:val="20"/>
              </w:rPr>
              <w:t xml:space="preserve">Unimodal</w:t>
            </w:r>
          </w:p>
        </w:tc>
        <w:tc>
          <w:tcPr>
            <w:tcW w:w="3143" w:type="dxa"/>
            <w:shd w:fill="FFFFFF"/>
            <w:vAlign w:val="top"/>
          </w:tcPr>
          <w:p>
            <w:pPr>
              <w:pStyle w:val="Compact"/>
              <w:keepLines/>
              <w:widowControl/>
              <w:spacing w:before="0" w:after="40" w:line="240" w:lineRule="auto"/>
              <w:jc w:val="center"/>
            </w:pPr>
            <w:r>
              <w:rPr>
                <w:sz w:val="20"/>
                <w:szCs w:val="20"/>
              </w:rPr>
              <w:t xml:space="preserve">Single peak</w:t>
            </w:r>
          </w:p>
        </w:tc>
        <w:tc>
          <w:tcPr>
            <w:tcW w:w="3905" w:type="dxa"/>
            <w:shd w:fill="FFFFFF"/>
            <w:vAlign w:val="top"/>
          </w:tcPr>
          <w:p>
            <w:pPr>
              <w:pStyle w:val="Compact"/>
              <w:keepLines/>
              <w:widowControl/>
              <w:spacing w:before="0" w:after="40" w:line="240" w:lineRule="auto"/>
              <w:jc w:val="center"/>
            </w:pPr>
            <w:r>
              <w:rPr>
                <w:sz w:val="20"/>
                <w:szCs w:val="20"/>
              </w:rPr>
              <w:t xml:space="preserve">One main concentration, summarized according to its shape</w:t>
            </w:r>
          </w:p>
        </w:tc>
      </w:tr>
      <w:tr>
        <w:trPr>
          <w:cantSplit/>
        </w:trPr>
        <w:tc>
          <w:tcPr>
            <w:tcW w:w="2476" w:type="dxa"/>
            <w:shd w:fill="F3F7F9"/>
            <w:vAlign w:val="top"/>
          </w:tcPr>
          <w:p>
            <w:pPr>
              <w:pStyle w:val="Compact"/>
              <w:keepLines/>
              <w:widowControl/>
              <w:spacing w:before="0" w:after="40" w:line="240" w:lineRule="auto"/>
              <w:jc w:val="center"/>
            </w:pPr>
            <w:r>
              <w:rPr>
                <w:sz w:val="20"/>
                <w:szCs w:val="20"/>
              </w:rPr>
              <w:t xml:space="preserve">Bimodal</w:t>
            </w:r>
          </w:p>
        </w:tc>
        <w:tc>
          <w:tcPr>
            <w:tcW w:w="3143" w:type="dxa"/>
            <w:shd w:fill="F3F7F9"/>
            <w:vAlign w:val="top"/>
          </w:tcPr>
          <w:p>
            <w:pPr>
              <w:pStyle w:val="Compact"/>
              <w:keepLines/>
              <w:widowControl/>
              <w:spacing w:before="0" w:after="40" w:line="240" w:lineRule="auto"/>
              <w:jc w:val="center"/>
            </w:pPr>
            <w:r>
              <w:rPr>
                <w:sz w:val="20"/>
                <w:szCs w:val="20"/>
              </w:rPr>
              <w:t xml:space="preserve">Two peaks</w:t>
            </w:r>
          </w:p>
        </w:tc>
        <w:tc>
          <w:tcPr>
            <w:tcW w:w="3905" w:type="dxa"/>
            <w:shd w:fill="F3F7F9"/>
            <w:vAlign w:val="top"/>
          </w:tcPr>
          <w:p>
            <w:pPr>
              <w:pStyle w:val="Compact"/>
              <w:keepLines/>
              <w:widowControl/>
              <w:spacing w:before="0" w:after="40" w:line="240" w:lineRule="auto"/>
              <w:jc w:val="center"/>
            </w:pPr>
            <w:r>
              <w:rPr>
                <w:sz w:val="20"/>
                <w:szCs w:val="20"/>
              </w:rPr>
              <w:t xml:space="preserve">Show and investigate both peaks; do not assume subgroups</w:t>
            </w:r>
          </w:p>
        </w:tc>
      </w:tr>
      <w:tr>
        <w:trPr>
          <w:cantSplit/>
        </w:trPr>
        <w:tc>
          <w:tcPr>
            <w:tcW w:w="2476" w:type="dxa"/>
            <w:shd w:fill="FFFFFF"/>
            <w:vAlign w:val="top"/>
          </w:tcPr>
          <w:p>
            <w:pPr>
              <w:pStyle w:val="Compact"/>
              <w:keepLines/>
              <w:widowControl/>
              <w:spacing w:before="0" w:after="40" w:line="240" w:lineRule="auto"/>
              <w:jc w:val="center"/>
            </w:pPr>
            <w:r>
              <w:rPr>
                <w:sz w:val="20"/>
                <w:szCs w:val="20"/>
              </w:rPr>
              <w:t xml:space="preserve">High kurtosis</w:t>
            </w:r>
          </w:p>
        </w:tc>
        <w:tc>
          <w:tcPr>
            <w:tcW w:w="3143" w:type="dxa"/>
            <w:shd w:fill="FFFFFF"/>
            <w:vAlign w:val="top"/>
          </w:tcPr>
          <w:p>
            <w:pPr>
              <w:pStyle w:val="Compact"/>
              <w:keepLines/>
              <w:widowControl/>
              <w:spacing w:before="0" w:after="40" w:line="240" w:lineRule="auto"/>
              <w:jc w:val="center"/>
            </w:pPr>
            <w:r>
              <w:rPr>
                <w:sz w:val="20"/>
                <w:szCs w:val="20"/>
              </w:rPr>
              <w:t xml:space="preserve">Greater weight on extreme deviations</w:t>
            </w:r>
          </w:p>
        </w:tc>
        <w:tc>
          <w:tcPr>
            <w:tcW w:w="3905" w:type="dxa"/>
            <w:shd w:fill="FFFFFF"/>
            <w:vAlign w:val="top"/>
          </w:tcPr>
          <w:p>
            <w:pPr>
              <w:pStyle w:val="Compact"/>
              <w:keepLines/>
              <w:widowControl/>
              <w:spacing w:before="0" w:after="40" w:line="240" w:lineRule="auto"/>
              <w:jc w:val="center"/>
            </w:pPr>
            <w:r>
              <w:rPr>
                <w:sz w:val="20"/>
                <w:szCs w:val="20"/>
              </w:rPr>
              <w:t xml:space="preserve">More prone to distant observations</w:t>
            </w:r>
          </w:p>
        </w:tc>
      </w:tr>
      <w:tr>
        <w:trPr>
          <w:cantSplit/>
        </w:trPr>
        <w:tc>
          <w:tcPr>
            <w:tcW w:w="2476" w:type="dxa"/>
            <w:shd w:fill="F3F7F9"/>
            <w:vAlign w:val="top"/>
          </w:tcPr>
          <w:p>
            <w:pPr>
              <w:pStyle w:val="Compact"/>
              <w:keepLines/>
              <w:widowControl/>
              <w:spacing w:before="0" w:after="40" w:line="240" w:lineRule="auto"/>
              <w:jc w:val="center"/>
            </w:pPr>
            <w:r>
              <w:rPr>
                <w:sz w:val="20"/>
                <w:szCs w:val="20"/>
              </w:rPr>
              <w:t xml:space="preserve">Low kurtosis</w:t>
            </w:r>
          </w:p>
        </w:tc>
        <w:tc>
          <w:tcPr>
            <w:tcW w:w="3143" w:type="dxa"/>
            <w:shd w:fill="F3F7F9"/>
            <w:vAlign w:val="top"/>
          </w:tcPr>
          <w:p>
            <w:pPr>
              <w:pStyle w:val="Compact"/>
              <w:keepLines/>
              <w:widowControl/>
              <w:spacing w:before="0" w:after="40" w:line="240" w:lineRule="auto"/>
              <w:jc w:val="center"/>
            </w:pPr>
            <w:r>
              <w:rPr>
                <w:sz w:val="20"/>
                <w:szCs w:val="20"/>
              </w:rPr>
              <w:t xml:space="preserve">Less weight on extreme deviations</w:t>
            </w:r>
          </w:p>
        </w:tc>
        <w:tc>
          <w:tcPr>
            <w:tcW w:w="3905" w:type="dxa"/>
            <w:shd w:fill="F3F7F9"/>
            <w:vAlign w:val="top"/>
          </w:tcPr>
          <w:p>
            <w:pPr>
              <w:pStyle w:val="Compact"/>
              <w:keepLines/>
              <w:widowControl/>
              <w:spacing w:before="0" w:after="40" w:line="240" w:lineRule="auto"/>
              <w:jc w:val="center"/>
            </w:pPr>
            <w:r>
              <w:rPr>
                <w:sz w:val="20"/>
                <w:szCs w:val="20"/>
              </w:rPr>
              <w:t xml:space="preserve">Less prone to distant observations</w:t>
            </w:r>
          </w:p>
        </w:tc>
      </w:tr>
    </w:tbl>
    <w:bookmarkEnd w:id="38"/>
    <w:p/>
    <w:p>
      <w:pPr>
        <w:pStyle w:val="BodyText"/>
      </w:pPr>
      <w:r>
        <w:t xml:space="preserve">Symmetry, modality, and kurtosis can coexist in different combinations. Peak height alone does not define kurtosis.</w:t>
      </w:r>
    </w:p>
    <w:p>
      <w:pPr>
        <w:pBdr>
          <w:bottom w:val="single" w:sz="4" w:space="6" w:color="B8C6CF"/>
        </w:pBdr>
        <w:spacing w:before="60" w:after="100"/>
      </w:pPr>
    </w:p>
    <w:bookmarkEnd w:id="39"/>
    <w:bookmarkStart w:id="40" w:name="suggestive-graphics"/>
    <w:p>
      <w:pPr>
        <w:pStyle w:val="Heading2"/>
      </w:pPr>
      <w:r>
        <w:t xml:space="preserve">Suggestive Graphics</w:t>
      </w:r>
    </w:p>
    <w:p>
      <w:pPr>
        <w:pStyle w:val="FirstParagraph"/>
      </w:pPr>
      <w:r>
        <w:t xml:space="preserve">Graphs can create misleading impressions through truncated axes, compressed or stretched scales, and inappropriate histogram bins. Percentages can mislead when their denominator, sample size, measurement method, or missing data are concealed. Both graphics and numbers require context and valid measurement.</w:t>
      </w:r>
    </w:p>
    <w:p>
      <w:pPr>
        <w:pBdr>
          <w:bottom w:val="single" w:sz="4" w:space="6" w:color="B8C6CF"/>
        </w:pBdr>
        <w:spacing w:before="60" w:after="100"/>
      </w:pPr>
    </w:p>
    <w:bookmarkEnd w:id="40"/>
    <w:bookmarkStart w:id="41" w:name="what-you-should-now-be-able-to-do"/>
    <w:p>
      <w:pPr>
        <w:pStyle w:val="Heading2"/>
      </w:pPr>
      <w:r>
        <w:t xml:space="preserve">What You Should Now Be Able to Do</w:t>
      </w:r>
    </w:p>
    <w:p>
      <w:pPr>
        <w:pStyle w:val="FirstParagraph"/>
      </w:pPr>
      <w:r>
        <w:t xml:space="preserve">You should now be able to identify cases, variables, values, and measurement levels; read the notation used in means, variances, and z-scores; build and interpret frequency summaries; choose compatible measures of center and spread; compare distributions with tables and graphs; predict the effects of linear transformations; standardize observations; and recognize presentation choices that can distort a statistical message. You should also be able to state the limits of a descriptive conclusion without turning an observed pattern into a population or causal claim.</w:t>
      </w:r>
    </w:p>
    <w:bookmarkEnd w:id="41"/>
    <w:bookmarkEnd w:id="42"/>
    <w:bookmarkStart w:id="53" w:name="expanded-reference"/>
    <w:p>
      <w:pPr>
        <w:pStyle w:val="Heading1"/>
        <w:pageBreakBefore/>
      </w:pPr>
      <w:r>
        <w:t xml:space="preserve">Expanded Reference</w:t>
      </w:r>
    </w:p>
    <w:bookmarkStart w:id="43" w:name="purpose-and-foundations"/>
    <w:p>
      <w:pPr>
        <w:pStyle w:val="Heading2"/>
      </w:pPr>
      <w:r>
        <w:t xml:space="preserve">Purpose and foundations</w:t>
      </w:r>
    </w:p>
    <w:p>
      <w:pPr>
        <w:pStyle w:val="FirstParagraph"/>
      </w:pPr>
      <w:r>
        <w:t xml:space="preserve">Descriptive statistics gives you a disciplined way to turn a collection of observations into an understandable account of what was observed. Begin by identifying the</w:t>
      </w:r>
      <w:r>
        <w:t xml:space="preserve"> </w:t>
      </w:r>
      <w:r>
        <w:rPr>
          <w:b/>
          <w:bCs/>
        </w:rPr>
        <w:t xml:space="preserve">cases</w:t>
      </w:r>
      <w:r>
        <w:t xml:space="preserve">, the people or units represented by the rows of a dataset, and the</w:t>
      </w:r>
      <w:r>
        <w:t xml:space="preserve"> </w:t>
      </w:r>
      <w:r>
        <w:rPr>
          <w:b/>
          <w:bCs/>
        </w:rPr>
        <w:t xml:space="preserve">variables</w:t>
      </w:r>
      <w:r>
        <w:t xml:space="preserve">, the characteristics recorded in its columns. A value is one recorded result for one variable and one case. Before calculating anything, ask what the variable means, how it was measured, and which values are possible. This prevents a mathematically correct calculation from becoming a misleading description.</w:t>
      </w:r>
    </w:p>
    <w:p>
      <w:pPr>
        <w:pStyle w:val="BodyText"/>
      </w:pPr>
      <w:r>
        <w:t xml:space="preserve">The measurement scale guides what you may sensibly do with a variable. A nominal variable separates cases into categories without an order. An ordinal variable has ordered categories, but the distances between neighboring categories are not known to be equal. An interval variable has meaningful equal distances but no meaningful absolute zero. A ratio variable has equal distances and a meaningful zero, so ratios can be interpreted. The scale is a property of how a variable is defined and measured, not of how its values happen to look in one dataset.</w:t>
      </w:r>
    </w:p>
    <w:tbl>
      <w:tblPr>
        <w:tblStyle w:val="RatiomeraTable"/>
        <w:tblW w:w="9524" w:type="dxa"/>
        <w:tblBorders>
          <w:top w:val="single" w:sz="6" w:space="0" w:color="9FB2BF"/>
          <w:left w:val="single" w:sz="4" w:space="0" w:color="D4DEE4"/>
          <w:bottom w:val="single" w:sz="6" w:space="0" w:color="9FB2BF"/>
          <w:right w:val="single" w:sz="4" w:space="0" w:color="D4DEE4"/>
          <w:insideH w:val="single" w:sz="4" w:space="0" w:color="D4DEE4"/>
          <w:insideV w:val="single" w:sz="4" w:space="0" w:color="D4DEE4"/>
        </w:tblBorders>
        <w:tblLayout w:val="fixed"/>
        <w:tblCellMar>
          <w:top w:w="70" w:type="dxa"/>
          <w:left w:w="110" w:type="dxa"/>
          <w:bottom w:w="70" w:type="dxa"/>
          <w:right w:w="110" w:type="dxa"/>
        </w:tblCellMar>
        <w:tblLook w:firstRow="1" w:lastRow="0" w:firstColumn="0" w:lastColumn="0" w:noHBand="0" w:noVBand="1" w:val="0220"/>
      </w:tblPr>
      <w:tblGrid>
        <w:gridCol w:w="2286"/>
        <w:gridCol w:w="3619"/>
        <w:gridCol w:w="3619"/>
      </w:tblGrid>
      <w:tr>
        <w:trPr>
          <w:cantSplit/>
          <w:tblHeader w:val="on"/>
        </w:trPr>
        <w:tc>
          <w:tcPr>
            <w:tcW w:w="2286" w:type="dxa"/>
            <w:shd w:fill="EAF2F6"/>
            <w:vAlign w:val="center"/>
          </w:tcPr>
          <w:p>
            <w:pPr>
              <w:pStyle w:val="Compact"/>
              <w:keepLines/>
              <w:widowControl/>
              <w:spacing w:before="0" w:after="40" w:line="240" w:lineRule="auto"/>
              <w:jc w:val="left"/>
            </w:pPr>
            <w:r>
              <w:rPr>
                <w:b/>
                <w:color w:val="183B56"/>
                <w:sz w:val="20"/>
                <w:szCs w:val="20"/>
              </w:rPr>
              <w:t xml:space="preserve">Scale</w:t>
            </w:r>
          </w:p>
        </w:tc>
        <w:tc>
          <w:tcPr>
            <w:tcW w:w="3619" w:type="dxa"/>
            <w:shd w:fill="EAF2F6"/>
            <w:vAlign w:val="center"/>
          </w:tcPr>
          <w:p>
            <w:pPr>
              <w:pStyle w:val="Compact"/>
              <w:keepLines/>
              <w:widowControl/>
              <w:spacing w:before="0" w:after="40" w:line="240" w:lineRule="auto"/>
              <w:jc w:val="left"/>
            </w:pPr>
            <w:r>
              <w:rPr>
                <w:b/>
                <w:color w:val="183B56"/>
                <w:sz w:val="20"/>
                <w:szCs w:val="20"/>
              </w:rPr>
              <w:t xml:space="preserve">What its values tell you</w:t>
            </w:r>
          </w:p>
        </w:tc>
        <w:tc>
          <w:tcPr>
            <w:tcW w:w="3619" w:type="dxa"/>
            <w:shd w:fill="EAF2F6"/>
            <w:vAlign w:val="center"/>
          </w:tcPr>
          <w:p>
            <w:pPr>
              <w:pStyle w:val="Compact"/>
              <w:keepLines/>
              <w:widowControl/>
              <w:spacing w:before="0" w:after="40" w:line="240" w:lineRule="auto"/>
              <w:jc w:val="left"/>
            </w:pPr>
            <w:r>
              <w:rPr>
                <w:b/>
                <w:color w:val="183B56"/>
                <w:sz w:val="20"/>
                <w:szCs w:val="20"/>
              </w:rPr>
              <w:t xml:space="preserve">Suitable first summaries</w:t>
            </w:r>
          </w:p>
        </w:tc>
      </w:tr>
      <w:tr>
        <w:trPr>
          <w:cantSplit/>
        </w:trPr>
        <w:tc>
          <w:tcPr>
            <w:tcW w:w="2286" w:type="dxa"/>
            <w:shd w:fill="F3F7F9"/>
            <w:vAlign w:val="top"/>
          </w:tcPr>
          <w:p>
            <w:pPr>
              <w:pStyle w:val="Compact"/>
              <w:keepLines/>
              <w:widowControl/>
              <w:spacing w:before="0" w:after="40" w:line="240" w:lineRule="auto"/>
              <w:jc w:val="left"/>
            </w:pPr>
            <w:r>
              <w:rPr>
                <w:sz w:val="20"/>
                <w:szCs w:val="20"/>
              </w:rPr>
              <w:t xml:space="preserve">Nominal</w:t>
            </w:r>
          </w:p>
        </w:tc>
        <w:tc>
          <w:tcPr>
            <w:tcW w:w="3619" w:type="dxa"/>
            <w:shd w:fill="F3F7F9"/>
            <w:vAlign w:val="top"/>
          </w:tcPr>
          <w:p>
            <w:pPr>
              <w:pStyle w:val="Compact"/>
              <w:keepLines/>
              <w:widowControl/>
              <w:spacing w:before="0" w:after="40" w:line="240" w:lineRule="auto"/>
              <w:jc w:val="left"/>
            </w:pPr>
            <w:r>
              <w:rPr>
                <w:sz w:val="20"/>
                <w:szCs w:val="20"/>
              </w:rPr>
              <w:t xml:space="preserve">Whether cases belong to the same or different categories</w:t>
            </w:r>
          </w:p>
        </w:tc>
        <w:tc>
          <w:tcPr>
            <w:tcW w:w="3619" w:type="dxa"/>
            <w:shd w:fill="F3F7F9"/>
            <w:vAlign w:val="top"/>
          </w:tcPr>
          <w:p>
            <w:pPr>
              <w:pStyle w:val="Compact"/>
              <w:keepLines/>
              <w:widowControl/>
              <w:spacing w:before="0" w:after="40" w:line="240" w:lineRule="auto"/>
              <w:jc w:val="left"/>
            </w:pPr>
            <w:r>
              <w:rPr>
                <w:sz w:val="20"/>
                <w:szCs w:val="20"/>
              </w:rPr>
              <w:t xml:space="preserve">Counts, proportions, mode</w:t>
            </w:r>
          </w:p>
        </w:tc>
      </w:tr>
      <w:tr>
        <w:trPr>
          <w:cantSplit/>
        </w:trPr>
        <w:tc>
          <w:tcPr>
            <w:tcW w:w="2286" w:type="dxa"/>
            <w:shd w:fill="FFFFFF"/>
            <w:vAlign w:val="top"/>
          </w:tcPr>
          <w:p>
            <w:pPr>
              <w:pStyle w:val="Compact"/>
              <w:keepLines/>
              <w:widowControl/>
              <w:spacing w:before="0" w:after="40" w:line="240" w:lineRule="auto"/>
              <w:jc w:val="left"/>
            </w:pPr>
            <w:r>
              <w:rPr>
                <w:sz w:val="20"/>
                <w:szCs w:val="20"/>
              </w:rPr>
              <w:t xml:space="preserve">Ordinal</w:t>
            </w:r>
          </w:p>
        </w:tc>
        <w:tc>
          <w:tcPr>
            <w:tcW w:w="3619" w:type="dxa"/>
            <w:shd w:fill="FFFFFF"/>
            <w:vAlign w:val="top"/>
          </w:tcPr>
          <w:p>
            <w:pPr>
              <w:pStyle w:val="Compact"/>
              <w:keepLines/>
              <w:widowControl/>
              <w:spacing w:before="0" w:after="40" w:line="240" w:lineRule="auto"/>
              <w:jc w:val="left"/>
            </w:pPr>
            <w:r>
              <w:rPr>
                <w:sz w:val="20"/>
                <w:szCs w:val="20"/>
              </w:rPr>
              <w:t xml:space="preserve">Category membership and order</w:t>
            </w:r>
          </w:p>
        </w:tc>
        <w:tc>
          <w:tcPr>
            <w:tcW w:w="3619" w:type="dxa"/>
            <w:shd w:fill="FFFFFF"/>
            <w:vAlign w:val="top"/>
          </w:tcPr>
          <w:p>
            <w:pPr>
              <w:pStyle w:val="Compact"/>
              <w:keepLines/>
              <w:widowControl/>
              <w:spacing w:before="0" w:after="40" w:line="240" w:lineRule="auto"/>
              <w:jc w:val="left"/>
            </w:pPr>
            <w:r>
              <w:rPr>
                <w:sz w:val="20"/>
                <w:szCs w:val="20"/>
              </w:rPr>
              <w:t xml:space="preserve">Counts, proportions, median, quantiles</w:t>
            </w:r>
          </w:p>
        </w:tc>
      </w:tr>
      <w:tr>
        <w:trPr>
          <w:cantSplit/>
        </w:trPr>
        <w:tc>
          <w:tcPr>
            <w:tcW w:w="2286" w:type="dxa"/>
            <w:shd w:fill="F3F7F9"/>
            <w:vAlign w:val="top"/>
          </w:tcPr>
          <w:p>
            <w:pPr>
              <w:pStyle w:val="Compact"/>
              <w:keepLines/>
              <w:widowControl/>
              <w:spacing w:before="0" w:after="40" w:line="240" w:lineRule="auto"/>
              <w:jc w:val="left"/>
            </w:pPr>
            <w:r>
              <w:rPr>
                <w:sz w:val="20"/>
                <w:szCs w:val="20"/>
              </w:rPr>
              <w:t xml:space="preserve">Interval/ratio</w:t>
            </w:r>
          </w:p>
        </w:tc>
        <w:tc>
          <w:tcPr>
            <w:tcW w:w="3619" w:type="dxa"/>
            <w:shd w:fill="F3F7F9"/>
            <w:vAlign w:val="top"/>
          </w:tcPr>
          <w:p>
            <w:pPr>
              <w:pStyle w:val="Compact"/>
              <w:keepLines/>
              <w:widowControl/>
              <w:spacing w:before="0" w:after="40" w:line="240" w:lineRule="auto"/>
              <w:jc w:val="left"/>
            </w:pPr>
            <w:r>
              <w:rPr>
                <w:sz w:val="20"/>
                <w:szCs w:val="20"/>
              </w:rPr>
              <w:t xml:space="preserve">Order and meaningful numerical distance</w:t>
            </w:r>
          </w:p>
        </w:tc>
        <w:tc>
          <w:tcPr>
            <w:tcW w:w="3619" w:type="dxa"/>
            <w:shd w:fill="F3F7F9"/>
            <w:vAlign w:val="top"/>
          </w:tcPr>
          <w:p>
            <w:pPr>
              <w:pStyle w:val="Compact"/>
              <w:keepLines/>
              <w:widowControl/>
              <w:spacing w:before="0" w:after="40" w:line="240" w:lineRule="auto"/>
              <w:jc w:val="left"/>
            </w:pPr>
            <w:r>
              <w:rPr>
                <w:sz w:val="20"/>
                <w:szCs w:val="20"/>
              </w:rPr>
              <w:t xml:space="preserve">Mean, median, variance, standard deviation, quantiles</w:t>
            </w:r>
          </w:p>
        </w:tc>
      </w:tr>
    </w:tbl>
    <w:p>
      <w:pPr>
        <w:pStyle w:val="BodyText"/>
      </w:pPr>
      <w:r>
        <w:t xml:space="preserve">Some teaching datasets in this learning sequence are</w:t>
      </w:r>
      <w:r>
        <w:t xml:space="preserve"> </w:t>
      </w:r>
      <w:r>
        <w:rPr>
          <w:b/>
          <w:bCs/>
        </w:rPr>
        <w:t xml:space="preserve">simulated data</w:t>
      </w:r>
      <w:r>
        <w:t xml:space="preserve">, meaning computer-created values that follow stated rules rather than measurements collected from real people. A</w:t>
      </w:r>
      <w:r>
        <w:t xml:space="preserve"> </w:t>
      </w:r>
      <w:r>
        <w:rPr>
          <w:b/>
          <w:bCs/>
        </w:rPr>
        <w:t xml:space="preserve">simulation</w:t>
      </w:r>
      <w:r>
        <w:t xml:space="preserve"> </w:t>
      </w:r>
      <w:r>
        <w:t xml:space="preserve">is the process that creates those values. A computer uses a</w:t>
      </w:r>
      <w:r>
        <w:t xml:space="preserve"> </w:t>
      </w:r>
      <w:r>
        <w:rPr>
          <w:b/>
          <w:bCs/>
        </w:rPr>
        <w:t xml:space="preserve">random-number generator</w:t>
      </w:r>
      <w:r>
        <w:t xml:space="preserve">, an algorithm designed to produce values that behave like chance outcomes. A</w:t>
      </w:r>
      <w:r>
        <w:t xml:space="preserve"> </w:t>
      </w:r>
      <w:r>
        <w:rPr>
          <w:b/>
          <w:bCs/>
        </w:rPr>
        <w:t xml:space="preserve">seed</w:t>
      </w:r>
      <w:r>
        <w:t xml:space="preserve"> </w:t>
      </w:r>
      <w:r>
        <w:t xml:space="preserve">is the starting value supplied to that algorithm. Reusing the same seed with the same instructions recreates the same dataset. This makes a teaching example reproducible: you and another learner can inspect the same observations and obtain the same results. Simulation supports learning, but it does not turn created values into evidence about a real population.</w:t>
      </w:r>
    </w:p>
    <w:bookmarkEnd w:id="43"/>
    <w:bookmarkStart w:id="44" w:name="core-ideas"/>
    <w:p>
      <w:pPr>
        <w:pStyle w:val="Heading2"/>
      </w:pPr>
      <w:r>
        <w:t xml:space="preserve">Core ideas</w:t>
      </w:r>
    </w:p>
    <w:p>
      <w:pPr>
        <w:pStyle w:val="FirstParagraph"/>
      </w:pPr>
      <w:r>
        <w:t xml:space="preserve">A distribution describes how the values of a variable are spread across their possible range. For a categorical variable, start with a frequency table. An absolute frequency is the number of cases in a category. A relative frequency is that count divided by the total number of valid cases. Relative frequencies can be reported as proportions or percentages. Always check whether missing values were excluded from the denominator, because a percentage is meaningful only when its reference total is known.</w:t>
      </w:r>
    </w:p>
    <w:p>
      <w:pPr>
        <w:pStyle w:val="BodyText"/>
      </w:pPr>
      <w:r>
        <w:t xml:space="preserve">For a numerical variable, describe four features together: center, variability, shape, and unusual observations. The mean uses every value and represents the balance point of the distribution. The median is the middle ordered value and divides the data into two halves. The mode is the most frequent value or category. The range runs from the smallest to the largest value. The interquartile range covers the middle half of the ordered observations. Variance and standard deviation summarize how far values tend to lie from the mean.</w:t>
      </w:r>
    </w:p>
    <w:tbl>
      <w:tblPr>
        <w:tblStyle w:val="RatiomeraTable"/>
        <w:tblW w:w="9524" w:type="dxa"/>
        <w:tblBorders>
          <w:top w:val="single" w:sz="6" w:space="0" w:color="9FB2BF"/>
          <w:left w:val="single" w:sz="4" w:space="0" w:color="D4DEE4"/>
          <w:bottom w:val="single" w:sz="6" w:space="0" w:color="9FB2BF"/>
          <w:right w:val="single" w:sz="4" w:space="0" w:color="D4DEE4"/>
          <w:insideH w:val="single" w:sz="4" w:space="0" w:color="D4DEE4"/>
          <w:insideV w:val="single" w:sz="4" w:space="0" w:color="D4DEE4"/>
        </w:tblBorders>
        <w:tblLayout w:val="fixed"/>
        <w:tblCellMar>
          <w:top w:w="70" w:type="dxa"/>
          <w:left w:w="110" w:type="dxa"/>
          <w:bottom w:w="70" w:type="dxa"/>
          <w:right w:w="110" w:type="dxa"/>
        </w:tblCellMar>
        <w:tblLook w:firstRow="1" w:lastRow="0" w:firstColumn="0" w:lastColumn="0" w:noHBand="0" w:noVBand="1" w:val="0220"/>
      </w:tblPr>
      <w:tblGrid>
        <w:gridCol w:w="2857"/>
        <w:gridCol w:w="3524"/>
        <w:gridCol w:w="3143"/>
      </w:tblGrid>
      <w:tr>
        <w:trPr>
          <w:cantSplit/>
          <w:tblHeader w:val="on"/>
        </w:trPr>
        <w:tc>
          <w:tcPr>
            <w:tcW w:w="2857" w:type="dxa"/>
            <w:shd w:fill="EAF2F6"/>
            <w:vAlign w:val="center"/>
          </w:tcPr>
          <w:p>
            <w:pPr>
              <w:pStyle w:val="Compact"/>
              <w:keepLines/>
              <w:widowControl/>
              <w:spacing w:before="0" w:after="40" w:line="240" w:lineRule="auto"/>
              <w:jc w:val="left"/>
            </w:pPr>
            <w:r>
              <w:rPr>
                <w:b/>
                <w:color w:val="183B56"/>
                <w:sz w:val="20"/>
                <w:szCs w:val="20"/>
              </w:rPr>
              <w:t xml:space="preserve">Question</w:t>
            </w:r>
          </w:p>
        </w:tc>
        <w:tc>
          <w:tcPr>
            <w:tcW w:w="3524" w:type="dxa"/>
            <w:shd w:fill="EAF2F6"/>
            <w:vAlign w:val="center"/>
          </w:tcPr>
          <w:p>
            <w:pPr>
              <w:pStyle w:val="Compact"/>
              <w:keepLines/>
              <w:widowControl/>
              <w:spacing w:before="0" w:after="40" w:line="240" w:lineRule="auto"/>
              <w:jc w:val="left"/>
            </w:pPr>
            <w:r>
              <w:rPr>
                <w:b/>
                <w:color w:val="183B56"/>
                <w:sz w:val="20"/>
                <w:szCs w:val="20"/>
              </w:rPr>
              <w:t xml:space="preserve">Useful evidence</w:t>
            </w:r>
          </w:p>
        </w:tc>
        <w:tc>
          <w:tcPr>
            <w:tcW w:w="3143" w:type="dxa"/>
            <w:shd w:fill="EAF2F6"/>
            <w:vAlign w:val="center"/>
          </w:tcPr>
          <w:p>
            <w:pPr>
              <w:pStyle w:val="Compact"/>
              <w:keepLines/>
              <w:widowControl/>
              <w:spacing w:before="0" w:after="40" w:line="240" w:lineRule="auto"/>
              <w:jc w:val="left"/>
            </w:pPr>
            <w:r>
              <w:rPr>
                <w:b/>
                <w:color w:val="183B56"/>
                <w:sz w:val="20"/>
                <w:szCs w:val="20"/>
              </w:rPr>
              <w:t xml:space="preserve">Reading habit</w:t>
            </w:r>
          </w:p>
        </w:tc>
      </w:tr>
      <w:tr>
        <w:trPr>
          <w:cantSplit/>
        </w:trPr>
        <w:tc>
          <w:tcPr>
            <w:tcW w:w="2857" w:type="dxa"/>
            <w:shd w:fill="F3F7F9"/>
            <w:vAlign w:val="top"/>
          </w:tcPr>
          <w:p>
            <w:pPr>
              <w:pStyle w:val="Compact"/>
              <w:keepLines/>
              <w:widowControl/>
              <w:spacing w:before="0" w:after="40" w:line="240" w:lineRule="auto"/>
              <w:jc w:val="left"/>
            </w:pPr>
            <w:r>
              <w:rPr>
                <w:sz w:val="20"/>
                <w:szCs w:val="20"/>
              </w:rPr>
              <w:t xml:space="preserve">Where is the distribution centered?</w:t>
            </w:r>
          </w:p>
        </w:tc>
        <w:tc>
          <w:tcPr>
            <w:tcW w:w="3524" w:type="dxa"/>
            <w:shd w:fill="F3F7F9"/>
            <w:vAlign w:val="top"/>
          </w:tcPr>
          <w:p>
            <w:pPr>
              <w:pStyle w:val="Compact"/>
              <w:keepLines/>
              <w:widowControl/>
              <w:spacing w:before="0" w:after="40" w:line="240" w:lineRule="auto"/>
              <w:jc w:val="left"/>
            </w:pPr>
            <w:r>
              <w:rPr>
                <w:sz w:val="20"/>
                <w:szCs w:val="20"/>
              </w:rPr>
              <w:t xml:space="preserve">Mean, median, and sometimes mode</w:t>
            </w:r>
          </w:p>
        </w:tc>
        <w:tc>
          <w:tcPr>
            <w:tcW w:w="3143" w:type="dxa"/>
            <w:shd w:fill="F3F7F9"/>
            <w:vAlign w:val="top"/>
          </w:tcPr>
          <w:p>
            <w:pPr>
              <w:pStyle w:val="Compact"/>
              <w:keepLines/>
              <w:widowControl/>
              <w:spacing w:before="0" w:after="40" w:line="240" w:lineRule="auto"/>
              <w:jc w:val="left"/>
            </w:pPr>
            <w:r>
              <w:rPr>
                <w:sz w:val="20"/>
                <w:szCs w:val="20"/>
              </w:rPr>
              <w:t xml:space="preserve">Compare mean and median instead of reporting one number alone</w:t>
            </w:r>
          </w:p>
        </w:tc>
      </w:tr>
      <w:tr>
        <w:trPr>
          <w:cantSplit/>
        </w:trPr>
        <w:tc>
          <w:tcPr>
            <w:tcW w:w="2857" w:type="dxa"/>
            <w:shd w:fill="FFFFFF"/>
            <w:vAlign w:val="top"/>
          </w:tcPr>
          <w:p>
            <w:pPr>
              <w:pStyle w:val="Compact"/>
              <w:keepLines/>
              <w:widowControl/>
              <w:spacing w:before="0" w:after="40" w:line="240" w:lineRule="auto"/>
              <w:jc w:val="left"/>
            </w:pPr>
            <w:r>
              <w:rPr>
                <w:sz w:val="20"/>
                <w:szCs w:val="20"/>
              </w:rPr>
              <w:t xml:space="preserve">How much do observations differ?</w:t>
            </w:r>
          </w:p>
        </w:tc>
        <w:tc>
          <w:tcPr>
            <w:tcW w:w="3524" w:type="dxa"/>
            <w:shd w:fill="FFFFFF"/>
            <w:vAlign w:val="top"/>
          </w:tcPr>
          <w:p>
            <w:pPr>
              <w:pStyle w:val="Compact"/>
              <w:keepLines/>
              <w:widowControl/>
              <w:spacing w:before="0" w:after="40" w:line="240" w:lineRule="auto"/>
              <w:jc w:val="left"/>
            </w:pPr>
            <w:r>
              <w:rPr>
                <w:sz w:val="20"/>
                <w:szCs w:val="20"/>
              </w:rPr>
              <w:t xml:space="preserve">Range, interquartile range, variance, standard deviation</w:t>
            </w:r>
          </w:p>
        </w:tc>
        <w:tc>
          <w:tcPr>
            <w:tcW w:w="3143" w:type="dxa"/>
            <w:shd w:fill="FFFFFF"/>
            <w:vAlign w:val="top"/>
          </w:tcPr>
          <w:p>
            <w:pPr>
              <w:pStyle w:val="Compact"/>
              <w:keepLines/>
              <w:widowControl/>
              <w:spacing w:before="0" w:after="40" w:line="240" w:lineRule="auto"/>
              <w:jc w:val="left"/>
            </w:pPr>
            <w:r>
              <w:rPr>
                <w:sz w:val="20"/>
                <w:szCs w:val="20"/>
              </w:rPr>
              <w:t xml:space="preserve">State the units and watch for unusual values</w:t>
            </w:r>
          </w:p>
        </w:tc>
      </w:tr>
      <w:tr>
        <w:trPr>
          <w:cantSplit/>
        </w:trPr>
        <w:tc>
          <w:tcPr>
            <w:tcW w:w="2857" w:type="dxa"/>
            <w:shd w:fill="F3F7F9"/>
            <w:vAlign w:val="top"/>
          </w:tcPr>
          <w:p>
            <w:pPr>
              <w:pStyle w:val="Compact"/>
              <w:keepLines/>
              <w:widowControl/>
              <w:spacing w:before="0" w:after="40" w:line="240" w:lineRule="auto"/>
              <w:jc w:val="left"/>
            </w:pPr>
            <w:r>
              <w:rPr>
                <w:sz w:val="20"/>
                <w:szCs w:val="20"/>
              </w:rPr>
              <w:t xml:space="preserve">What shape do the values form?</w:t>
            </w:r>
          </w:p>
        </w:tc>
        <w:tc>
          <w:tcPr>
            <w:tcW w:w="3524" w:type="dxa"/>
            <w:shd w:fill="F3F7F9"/>
            <w:vAlign w:val="top"/>
          </w:tcPr>
          <w:p>
            <w:pPr>
              <w:pStyle w:val="Compact"/>
              <w:keepLines/>
              <w:widowControl/>
              <w:spacing w:before="0" w:after="40" w:line="240" w:lineRule="auto"/>
              <w:jc w:val="left"/>
            </w:pPr>
            <w:r>
              <w:rPr>
                <w:sz w:val="20"/>
                <w:szCs w:val="20"/>
              </w:rPr>
              <w:t xml:space="preserve">Histogram, boxplot, frequencies, skewness</w:t>
            </w:r>
          </w:p>
        </w:tc>
        <w:tc>
          <w:tcPr>
            <w:tcW w:w="3143" w:type="dxa"/>
            <w:shd w:fill="F3F7F9"/>
            <w:vAlign w:val="top"/>
          </w:tcPr>
          <w:p>
            <w:pPr>
              <w:pStyle w:val="Compact"/>
              <w:keepLines/>
              <w:widowControl/>
              <w:spacing w:before="0" w:after="40" w:line="240" w:lineRule="auto"/>
              <w:jc w:val="left"/>
            </w:pPr>
            <w:r>
              <w:rPr>
                <w:sz w:val="20"/>
                <w:szCs w:val="20"/>
              </w:rPr>
              <w:t xml:space="preserve">Look for symmetry, skew, gaps, clusters, and more than one peak</w:t>
            </w:r>
          </w:p>
        </w:tc>
      </w:tr>
      <w:tr>
        <w:trPr>
          <w:cantSplit/>
        </w:trPr>
        <w:tc>
          <w:tcPr>
            <w:tcW w:w="2857" w:type="dxa"/>
            <w:shd w:fill="FFFFFF"/>
            <w:vAlign w:val="top"/>
          </w:tcPr>
          <w:p>
            <w:pPr>
              <w:pStyle w:val="Compact"/>
              <w:keepLines/>
              <w:widowControl/>
              <w:spacing w:before="0" w:after="40" w:line="240" w:lineRule="auto"/>
              <w:jc w:val="left"/>
            </w:pPr>
            <w:r>
              <w:rPr>
                <w:sz w:val="20"/>
                <w:szCs w:val="20"/>
              </w:rPr>
              <w:t xml:space="preserve">Are any values surprising?</w:t>
            </w:r>
          </w:p>
        </w:tc>
        <w:tc>
          <w:tcPr>
            <w:tcW w:w="3524" w:type="dxa"/>
            <w:shd w:fill="FFFFFF"/>
            <w:vAlign w:val="top"/>
          </w:tcPr>
          <w:p>
            <w:pPr>
              <w:pStyle w:val="Compact"/>
              <w:keepLines/>
              <w:widowControl/>
              <w:spacing w:before="0" w:after="40" w:line="240" w:lineRule="auto"/>
              <w:jc w:val="left"/>
            </w:pPr>
            <w:r>
              <w:rPr>
                <w:sz w:val="20"/>
                <w:szCs w:val="20"/>
              </w:rPr>
              <w:t xml:space="preserve">Raw values, plot, data checks, standardized scores</w:t>
            </w:r>
          </w:p>
        </w:tc>
        <w:tc>
          <w:tcPr>
            <w:tcW w:w="3143" w:type="dxa"/>
            <w:shd w:fill="FFFFFF"/>
            <w:vAlign w:val="top"/>
          </w:tcPr>
          <w:p>
            <w:pPr>
              <w:pStyle w:val="Compact"/>
              <w:keepLines/>
              <w:widowControl/>
              <w:spacing w:before="0" w:after="40" w:line="240" w:lineRule="auto"/>
              <w:jc w:val="left"/>
            </w:pPr>
            <w:r>
              <w:rPr>
                <w:sz w:val="20"/>
                <w:szCs w:val="20"/>
              </w:rPr>
              <w:t xml:space="preserve">Investigate before deciding whether a value is an error</w:t>
            </w:r>
          </w:p>
        </w:tc>
      </w:tr>
    </w:tbl>
    <w:p>
      <w:pPr>
        <w:pStyle w:val="BodyText"/>
      </w:pPr>
      <w:r>
        <w:t xml:space="preserve">Shape affects interpretation. In a roughly symmetric distribution, the mean and median are often similar. A long right tail tends to pull the mean upward, while a long left tail tends to pull it downward.</w:t>
      </w:r>
      <w:r>
        <w:t xml:space="preserve"> </w:t>
      </w:r>
      <w:r>
        <w:rPr>
          <w:b/>
          <w:bCs/>
        </w:rPr>
        <w:t xml:space="preserve">Modality</w:t>
      </w:r>
      <w:r>
        <w:t xml:space="preserve"> </w:t>
      </w:r>
      <w:r>
        <w:t xml:space="preserve">describes the number and pattern of clear peaks or main concentrations. A distribution may be unimodal, with one main peak, or multimodal, with more than one concentration.</w:t>
      </w:r>
      <w:r>
        <w:t xml:space="preserve"> </w:t>
      </w:r>
      <w:r>
        <w:rPr>
          <w:b/>
          <w:bCs/>
        </w:rPr>
        <w:t xml:space="preserve">Kurtosis</w:t>
      </w:r>
      <w:r>
        <w:t xml:space="preserve"> </w:t>
      </w:r>
      <w:r>
        <w:t xml:space="preserve">describes how readily values occur far into the tails relative to a symmetric bell-shaped reference distribution with the same overall spread. Peak height alone does not define kurtosis. A number such as the mean cannot show these features, which is why a graph and numerical summaries should be read together.</w:t>
      </w:r>
    </w:p>
    <w:p>
      <w:pPr>
        <w:pStyle w:val="BodyText"/>
      </w:pPr>
      <w:r>
        <w:t xml:space="preserve">An unusual observation is not automatically a mistake. It may be a valid but rare case, a coding error, a measurement problem, or a sign that different groups have been combined. Check the original definition and recording process before excluding anything. If an analytical decision changes after an observation is removed, report that sensitivity rather than hiding it.</w:t>
      </w:r>
    </w:p>
    <w:bookmarkEnd w:id="44"/>
    <w:bookmarkStart w:id="45" w:name="formula-guide"/>
    <w:p>
      <w:pPr>
        <w:pStyle w:val="Heading2"/>
      </w:pPr>
      <w:r>
        <w:t xml:space="preserve">Formula guide</w:t>
      </w:r>
    </w:p>
    <w:p>
      <w:pPr>
        <w:pStyle w:val="FirstParagraph"/>
      </w:pPr>
      <w:r>
        <w:t xml:space="preserve">For category or interval</w:t>
      </w:r>
      <w:r>
        <w:t xml:space="preserve"> </w:t>
      </w:r>
      <ns5:oMath>
        <ns5:r>
          <ns5:t>j</ns5:t>
        </ns5:r>
      </ns5:oMath>
      <w:r>
        <w:t xml:space="preserve">, let</w:t>
      </w:r>
      <w:r>
        <w:t xml:space="preserve"> </w:t>
      </w:r>
      <ns5:oMath>
        <ns5:sSub>
          <ns5:e>
            <ns5:r>
              <ns5:t>n</ns5:t>
            </ns5:r>
          </ns5:e>
          <ns5:sub>
            <ns5:r>
              <ns5:t>j</ns5:t>
            </ns5:r>
          </ns5:sub>
        </ns5:sSub>
      </ns5:oMath>
      <w:r>
        <w:t xml:space="preserve"> </w:t>
      </w:r>
      <w:r>
        <w:t xml:space="preserve">be its absolute frequency and let</w:t>
      </w:r>
      <w:r>
        <w:t xml:space="preserve"> </w:t>
      </w:r>
      <ns5:oMath>
        <ns5:r>
          <ns5:t>n</ns5:t>
        </ns5:r>
      </ns5:oMath>
      <w:r>
        <w:t xml:space="preserve"> </w:t>
      </w:r>
      <w:r>
        <w:t xml:space="preserve">be the number of valid observations. Its relative frequency is</w:t>
      </w:r>
    </w:p>
    <w:p>
      <w:pPr>
        <w:pStyle w:val="BodyText"/>
      </w:pPr>
      <ns5:oMathPara>
        <ns5:oMathParaPr>
          <ns5:jc ns5:val="center"/>
        </ns5:oMathParaPr>
        <ns5:oMath>
          <ns5:sSub>
            <ns5:e>
              <ns5:r>
                <ns5:t>f</ns5:t>
              </ns5:r>
            </ns5:e>
            <ns5:sub>
              <ns5:r>
                <ns5:t>j</ns5:t>
              </ns5:r>
            </ns5:sub>
          </ns5:sSub>
          <ns5:r>
            <ns5:rPr>
              <ns5:sty ns5:val="p"/>
            </ns5:rPr>
            <ns5:t>=</ns5:t>
          </ns5:r>
          <ns5:f>
            <ns5:fPr>
              <ns5:type ns5:val="bar"/>
            </ns5:fPr>
            <ns5:num>
              <ns5:sSub>
                <ns5:e>
                  <ns5:r>
                    <ns5:t>n</ns5:t>
                  </ns5:r>
                </ns5:e>
                <ns5:sub>
                  <ns5:r>
                    <ns5:t>j</ns5:t>
                  </ns5:r>
                </ns5:sub>
              </ns5:sSub>
            </ns5:num>
            <ns5:den>
              <ns5:r>
                <ns5:t>n</ns5:t>
              </ns5:r>
            </ns5:den>
          </ns5:f>
          <ns5:r>
            <ns5:rPr>
              <ns5:sty ns5:val="p"/>
            </ns5:rPr>
            <ns5:t>.</ns5:t>
          </ns5:r>
        </ns5:oMath>
      </ns5:oMathPara>
    </w:p>
    <w:p>
      <w:pPr>
        <w:pStyle w:val="FirstParagraph"/>
      </w:pPr>
      <w:r>
        <w:t xml:space="preserve">For ordered categories or numerical intervals, the cumulative relative frequency through category</w:t>
      </w:r>
      <w:r>
        <w:t xml:space="preserve"> </w:t>
      </w:r>
      <ns5:oMath>
        <ns5:r>
          <ns5:t>j</ns5:t>
        </ns5:r>
      </ns5:oMath>
      <w:r>
        <w:t xml:space="preserve"> </w:t>
      </w:r>
      <w:r>
        <w:t xml:space="preserve">is</w:t>
      </w:r>
    </w:p>
    <w:p>
      <w:pPr>
        <w:pStyle w:val="BodyText"/>
      </w:pPr>
      <ns5:oMathPara>
        <ns5:oMathParaPr>
          <ns5:jc ns5:val="center"/>
        </ns5:oMathParaPr>
        <ns5:oMath>
          <ns5:sSub>
            <ns5:e>
              <ns5:r>
                <ns5:t>F</ns5:t>
              </ns5:r>
            </ns5:e>
            <ns5:sub>
              <ns5:r>
                <ns5:t>j</ns5:t>
              </ns5:r>
            </ns5:sub>
          </ns5:sSub>
          <ns5:r>
            <ns5:rPr>
              <ns5:sty ns5:val="p"/>
            </ns5:rPr>
            <ns5:t>=</ns5:t>
          </ns5:r>
          <ns5:nary>
            <ns5:naryPr>
              <ns5:chr ns5:val="∑"/>
              <ns5:limLoc ns5:val="undOvr"/>
              <ns5:subHide ns5:val="off"/>
              <ns5:supHide ns5:val="off"/>
            </ns5:naryPr>
            <ns5:sub>
              <ns5:r>
                <ns5:t>h</ns5:t>
              </ns5:r>
              <ns5:r>
                <ns5:rPr>
                  <ns5:sty ns5:val="p"/>
                </ns5:rPr>
                <ns5:t>=</ns5:t>
              </ns5:r>
              <ns5:r>
                <ns5:t>1</ns5:t>
              </ns5:r>
            </ns5:sub>
            <ns5:sup>
              <ns5:r>
                <ns5:t>j</ns5:t>
              </ns5:r>
            </ns5:sup>
            <ns5:e>
              <ns5:sSub>
                <ns5:e>
                  <ns5:r>
                    <ns5:t>f</ns5:t>
                  </ns5:r>
                </ns5:e>
                <ns5:sub>
                  <ns5:r>
                    <ns5:t>h</ns5:t>
                  </ns5:r>
                </ns5:sub>
              </ns5:sSub>
            </ns5:e>
          </ns5:nary>
          <ns5:r>
            <ns5:rPr>
              <ns5:sty ns5:val="p"/>
            </ns5:rPr>
            <ns5:t>.</ns5:t>
          </ns5:r>
        </ns5:oMath>
      </ns5:oMathPara>
    </w:p>
    <w:p>
      <w:pPr>
        <w:pStyle w:val="FirstParagraph"/>
      </w:pPr>
      <w:r>
        <w:t xml:space="preserve">Absolute frequencies should add to</w:t>
      </w:r>
      <w:r>
        <w:t xml:space="preserve"> </w:t>
      </w:r>
      <ns5:oMath>
        <ns5:r>
          <ns5:t>n</ns5:t>
        </ns5:r>
      </ns5:oMath>
      <w:r>
        <w:t xml:space="preserve">, relative frequencies should add to 1 apart from rounding, and the final cumulative relative frequency should equal 1. Cumulative frequencies are meaningful only when the categories have a defensible order.</w:t>
      </w:r>
    </w:p>
    <w:p>
      <w:pPr>
        <w:pStyle w:val="BodyText"/>
      </w:pPr>
      <w:r>
        <w:t xml:space="preserve">Let</w:t>
      </w:r>
      <w:r>
        <w:t xml:space="preserve"> </w:t>
      </w:r>
      <ns5:oMath>
        <ns5:sSub>
          <ns5:e>
            <ns5:r>
              <ns5:t>x</ns5:t>
            </ns5:r>
          </ns5:e>
          <ns5:sub>
            <ns5:r>
              <ns5:t>1</ns5:t>
            </ns5:r>
          </ns5:sub>
        </ns5:sSub>
        <ns5:r>
          <ns5:rPr>
            <ns5:sty ns5:val="p"/>
          </ns5:rPr>
          <ns5:t>,</ns5:t>
        </ns5:r>
        <ns5:sSub>
          <ns5:e>
            <ns5:r>
              <ns5:t>x</ns5:t>
            </ns5:r>
          </ns5:e>
          <ns5:sub>
            <ns5:r>
              <ns5:t>2</ns5:t>
            </ns5:r>
          </ns5:sub>
        </ns5:sSub>
        <ns5:r>
          <ns5:rPr>
            <ns5:sty ns5:val="p"/>
          </ns5:rPr>
          <ns5:t>,</ns5:t>
        </ns5:r>
        <ns5:r>
          <ns5:rPr>
            <ns5:sty ns5:val="p"/>
          </ns5:rPr>
          <ns5:t>…</ns5:t>
        </ns5:r>
        <ns5:r>
          <ns5:rPr>
            <ns5:sty ns5:val="p"/>
          </ns5:rPr>
          <ns5:t>,</ns5:t>
        </ns5:r>
        <ns5:sSub>
          <ns5:e>
            <ns5:r>
              <ns5:t>x</ns5:t>
            </ns5:r>
          </ns5:e>
          <ns5:sub>
            <ns5:r>
              <ns5:t>n</ns5:t>
            </ns5:r>
          </ns5:sub>
        </ns5:sSub>
      </ns5:oMath>
      <w:r>
        <w:t xml:space="preserve"> </w:t>
      </w:r>
      <w:r>
        <w:t xml:space="preserve">be the observed values of a numerical variable. The sample mean adds all values and divides by the number of observations:</w:t>
      </w:r>
    </w:p>
    <w:p>
      <w:pPr>
        <w:pStyle w:val="BodyText"/>
      </w:pPr>
      <ns5:oMathPara>
        <ns5:oMathParaPr>
          <ns5:jc ns5:val="center"/>
        </ns5:oMathParaPr>
        <ns5:oMath>
          <ns5:acc>
            <ns5:accPr>
              <ns5:chr ns5:val="‾"/>
            </ns5:accPr>
            <ns5:e>
              <ns5:r>
                <ns5:t>x</ns5:t>
              </ns5:r>
            </ns5:e>
          </ns5:acc>
          <ns5:r>
            <ns5:rPr>
              <ns5:sty ns5:val="p"/>
            </ns5:rPr>
            <ns5:t>=</ns5:t>
          </ns5:r>
          <ns5:f>
            <ns5:fPr>
              <ns5:type ns5:val="bar"/>
            </ns5:fPr>
            <ns5:num>
              <ns5:r>
                <ns5:t>1</ns5:t>
              </ns5:r>
            </ns5:num>
            <ns5:den>
              <ns5:r>
                <ns5:t>n</ns5:t>
              </ns5:r>
            </ns5:den>
          </ns5:f>
          <ns5:nary>
            <ns5:naryPr>
              <ns5:chr ns5:val="∑"/>
              <ns5:limLoc ns5:val="undOvr"/>
              <ns5:subHide ns5:val="off"/>
              <ns5:supHide ns5:val="off"/>
            </ns5:naryPr>
            <ns5:sub>
              <ns5:r>
                <ns5:t>i</ns5:t>
              </ns5:r>
              <ns5:r>
                <ns5:rPr>
                  <ns5:sty ns5:val="p"/>
                </ns5:rPr>
                <ns5:t>=</ns5:t>
              </ns5:r>
              <ns5:r>
                <ns5:t>1</ns5:t>
              </ns5:r>
            </ns5:sub>
            <ns5:sup>
              <ns5:r>
                <ns5:t>n</ns5:t>
              </ns5:r>
            </ns5:sup>
            <ns5:e>
              <ns5:sSub>
                <ns5:e>
                  <ns5:r>
                    <ns5:t>x</ns5:t>
                  </ns5:r>
                </ns5:e>
                <ns5:sub>
                  <ns5:r>
                    <ns5:t>i</ns5:t>
                  </ns5:r>
                </ns5:sub>
              </ns5:sSub>
            </ns5:e>
          </ns5:nary>
        </ns5:oMath>
      </ns5:oMathPara>
    </w:p>
    <w:p>
      <w:pPr>
        <w:pStyle w:val="FirstParagraph"/>
      </w:pPr>
      <w:r>
        <w:t xml:space="preserve">The notation</w:t>
      </w:r>
      <w:r>
        <w:t xml:space="preserve"> </w:t>
      </w:r>
      <ns5:oMath>
        <ns5:r>
          <ns5:rPr>
            <ns5:sty ns5:val="p"/>
          </ns5:rPr>
          <ns5:t>∑</ns5:t>
        </ns5:r>
      </ns5:oMath>
      <w:r>
        <w:t xml:space="preserve"> </w:t>
      </w:r>
      <w:r>
        <w:t xml:space="preserve">means</w:t>
      </w:r>
      <w:r>
        <w:t xml:space="preserve"> </w:t>
      </w:r>
      <w:r>
        <w:t xml:space="preserve">“add the indicated values.”</w:t>
      </w:r>
      <w:r>
        <w:t xml:space="preserve"> </w:t>
      </w:r>
      <w:r>
        <w:t xml:space="preserve">The index</w:t>
      </w:r>
      <w:r>
        <w:t xml:space="preserve"> </w:t>
      </w:r>
      <ns5:oMath>
        <ns5:r>
          <ns5:t>i</ns5:t>
        </ns5:r>
      </ns5:oMath>
      <w:r>
        <w:t xml:space="preserve"> </w:t>
      </w:r>
      <w:r>
        <w:t xml:space="preserve">identifies one observation at a time, from the first observation to observation</w:t>
      </w:r>
      <w:r>
        <w:t xml:space="preserve"> </w:t>
      </w:r>
      <ns5:oMath>
        <ns5:r>
          <ns5:t>n</ns5:t>
        </ns5:r>
      </ns5:oMath>
      <w:r>
        <w:t xml:space="preserve">. The deviation</w:t>
      </w:r>
      <w:r>
        <w:t xml:space="preserve"> </w:t>
      </w:r>
      <ns5:oMath>
        <ns5:sSub>
          <ns5:e>
            <ns5:r>
              <ns5:t>x</ns5:t>
            </ns5:r>
          </ns5:e>
          <ns5:sub>
            <ns5:r>
              <ns5:t>i</ns5:t>
            </ns5:r>
          </ns5:sub>
        </ns5:sSub>
        <ns5:r>
          <ns5:rPr>
            <ns5:sty ns5:val="p"/>
          </ns5:rPr>
          <ns5:t>−</ns5:t>
        </ns5:r>
        <ns5:acc>
          <ns5:accPr>
            <ns5:chr ns5:val="‾"/>
          </ns5:accPr>
          <ns5:e>
            <ns5:r>
              <ns5:t>x</ns5:t>
            </ns5:r>
          </ns5:e>
        </ns5:acc>
      </ns5:oMath>
      <w:r>
        <w:t xml:space="preserve"> </w:t>
      </w:r>
      <w:r>
        <w:t xml:space="preserve">tells you how far one value lies above or below the mean. Positive and negative deviations cancel when added, so variance first squares them. The sample variance uses</w:t>
      </w:r>
      <w:r>
        <w:t xml:space="preserve"> </w:t>
      </w:r>
      <ns5:oMath>
        <ns5:r>
          <ns5:t>n</ns5:t>
        </ns5:r>
        <ns5:r>
          <ns5:rPr>
            <ns5:sty ns5:val="p"/>
          </ns5:rPr>
          <ns5:t>−</ns5:t>
        </ns5:r>
        <ns5:r>
          <ns5:t>1</ns5:t>
        </ns5:r>
      </ns5:oMath>
      <w:r>
        <w:t xml:space="preserve"> </w:t>
      </w:r>
      <w:r>
        <w:t xml:space="preserve">in the denominator:</w:t>
      </w:r>
    </w:p>
    <w:p>
      <w:pPr>
        <w:pStyle w:val="BodyText"/>
      </w:pPr>
      <ns5:oMathPara>
        <ns5:oMathParaPr>
          <ns5:jc ns5:val="center"/>
        </ns5:oMathParaPr>
        <ns5:oMath>
          <ns5:sSup>
            <ns5:e>
              <ns5:r>
                <ns5:t>s</ns5:t>
              </ns5:r>
            </ns5:e>
            <ns5:sup>
              <ns5:r>
                <ns5:t>2</ns5:t>
              </ns5:r>
            </ns5:sup>
          </ns5:sSup>
          <ns5:r>
            <ns5:rPr>
              <ns5:sty ns5:val="p"/>
            </ns5:rPr>
            <ns5:t>=</ns5:t>
          </ns5:r>
          <ns5:f>
            <ns5:fPr>
              <ns5:type ns5:val="bar"/>
            </ns5:fPr>
            <ns5:num>
              <ns5:r>
                <ns5:t>1</ns5:t>
              </ns5:r>
            </ns5:num>
            <ns5:den>
              <ns5:r>
                <ns5:t>n</ns5:t>
              </ns5:r>
              <ns5:r>
                <ns5:rPr>
                  <ns5:sty ns5:val="p"/>
                </ns5:rPr>
                <ns5:t>−</ns5:t>
              </ns5:r>
              <ns5:r>
                <ns5:t>1</ns5:t>
              </ns5:r>
            </ns5:den>
          </ns5:f>
          <ns5:nary>
            <ns5:naryPr>
              <ns5:chr ns5:val="∑"/>
              <ns5:limLoc ns5:val="undOvr"/>
              <ns5:subHide ns5:val="off"/>
              <ns5:supHide ns5:val="off"/>
            </ns5:naryPr>
            <ns5:sub>
              <ns5:r>
                <ns5:t>i</ns5:t>
              </ns5:r>
              <ns5:r>
                <ns5:rPr>
                  <ns5:sty ns5:val="p"/>
                </ns5:rPr>
                <ns5:t>=</ns5:t>
              </ns5:r>
              <ns5:r>
                <ns5:t>1</ns5:t>
              </ns5:r>
            </ns5:sub>
            <ns5:sup>
              <ns5:r>
                <ns5:t>n</ns5:t>
              </ns5:r>
            </ns5:sup>
            <ns5:e>
              <ns5:sSup>
                <ns5:e>
                  <ns5:d>
                    <ns5:dPr>
                      <ns5:begChr ns5:val="("/>
                      <ns5:sepChr ns5:val=""/>
                      <ns5:endChr ns5:val=")"/>
                      <ns5:grow/>
                    </ns5:dPr>
                    <ns5:e>
                      <ns5:sSub>
                        <ns5:e>
                          <ns5:r>
                            <ns5:t>x</ns5:t>
                          </ns5:r>
                        </ns5:e>
                        <ns5:sub>
                          <ns5:r>
                            <ns5:t>i</ns5:t>
                          </ns5:r>
                        </ns5:sub>
                      </ns5:sSub>
                      <ns5:r>
                        <ns5:rPr>
                          <ns5:sty ns5:val="p"/>
                        </ns5:rPr>
                        <ns5:t>−</ns5:t>
                      </ns5:r>
                      <ns5:acc>
                        <ns5:accPr>
                          <ns5:chr ns5:val="‾"/>
                        </ns5:accPr>
                        <ns5:e>
                          <ns5:r>
                            <ns5:t>x</ns5:t>
                          </ns5:r>
                        </ns5:e>
                      </ns5:acc>
                    </ns5:e>
                  </ns5:d>
                </ns5:e>
                <ns5:sup>
                  <ns5:r>
                    <ns5:t>2</ns5:t>
                  </ns5:r>
                </ns5:sup>
              </ns5:sSup>
            </ns5:e>
          </ns5:nary>
        </ns5:oMath>
      </ns5:oMathPara>
    </w:p>
    <w:p>
      <w:pPr>
        <w:pStyle w:val="FirstParagraph"/>
      </w:pPr>
      <w:r>
        <w:t xml:space="preserve">The corresponding population variance uses the population mean</w:t>
      </w:r>
      <w:r>
        <w:t xml:space="preserve"> </w:t>
      </w:r>
      <ns5:oMath>
        <ns5:r>
          <ns5:t>μ</ns5:t>
        </ns5:r>
      </ns5:oMath>
      <w:r>
        <w:t xml:space="preserve"> </w:t>
      </w:r>
      <w:r>
        <w:t xml:space="preserve">and divides by the population size</w:t>
      </w:r>
      <w:r>
        <w:t xml:space="preserve"> </w:t>
      </w:r>
      <ns5:oMath>
        <ns5:r>
          <ns5:t>N</ns5:t>
        </ns5:r>
      </ns5:oMath>
      <w:r>
        <w:t xml:space="preserve">:</w:t>
      </w:r>
    </w:p>
    <w:p>
      <w:pPr>
        <w:pStyle w:val="BodyText"/>
      </w:pPr>
      <ns5:oMathPara>
        <ns5:oMathParaPr>
          <ns5:jc ns5:val="center"/>
        </ns5:oMathParaPr>
        <ns5:oMath>
          <ns5:sSup>
            <ns5:e>
              <ns5:r>
                <ns5:t>σ</ns5:t>
              </ns5:r>
            </ns5:e>
            <ns5:sup>
              <ns5:r>
                <ns5:t>2</ns5:t>
              </ns5:r>
            </ns5:sup>
          </ns5:sSup>
          <ns5:r>
            <ns5:rPr>
              <ns5:sty ns5:val="p"/>
            </ns5:rPr>
            <ns5:t>=</ns5:t>
          </ns5:r>
          <ns5:f>
            <ns5:fPr>
              <ns5:type ns5:val="bar"/>
            </ns5:fPr>
            <ns5:num>
              <ns5:r>
                <ns5:t>1</ns5:t>
              </ns5:r>
            </ns5:num>
            <ns5:den>
              <ns5:r>
                <ns5:t>N</ns5:t>
              </ns5:r>
            </ns5:den>
          </ns5:f>
          <ns5:nary>
            <ns5:naryPr>
              <ns5:chr ns5:val="∑"/>
              <ns5:limLoc ns5:val="undOvr"/>
              <ns5:subHide ns5:val="off"/>
              <ns5:supHide ns5:val="off"/>
            </ns5:naryPr>
            <ns5:sub>
              <ns5:r>
                <ns5:t>i</ns5:t>
              </ns5:r>
              <ns5:r>
                <ns5:rPr>
                  <ns5:sty ns5:val="p"/>
                </ns5:rPr>
                <ns5:t>=</ns5:t>
              </ns5:r>
              <ns5:r>
                <ns5:t>1</ns5:t>
              </ns5:r>
            </ns5:sub>
            <ns5:sup>
              <ns5:r>
                <ns5:t>N</ns5:t>
              </ns5:r>
            </ns5:sup>
            <ns5:e>
              <ns5:sSup>
                <ns5:e>
                  <ns5:d>
                    <ns5:dPr>
                      <ns5:begChr ns5:val="("/>
                      <ns5:sepChr ns5:val=""/>
                      <ns5:endChr ns5:val=")"/>
                      <ns5:grow/>
                    </ns5:dPr>
                    <ns5:e>
                      <ns5:sSub>
                        <ns5:e>
                          <ns5:r>
                            <ns5:t>x</ns5:t>
                          </ns5:r>
                        </ns5:e>
                        <ns5:sub>
                          <ns5:r>
                            <ns5:t>i</ns5:t>
                          </ns5:r>
                        </ns5:sub>
                      </ns5:sSub>
                      <ns5:r>
                        <ns5:rPr>
                          <ns5:sty ns5:val="p"/>
                        </ns5:rPr>
                        <ns5:t>−</ns5:t>
                      </ns5:r>
                      <ns5:r>
                        <ns5:t>μ</ns5:t>
                      </ns5:r>
                    </ns5:e>
                  </ns5:d>
                </ns5:e>
                <ns5:sup>
                  <ns5:r>
                    <ns5:t>2</ns5:t>
                  </ns5:r>
                </ns5:sup>
              </ns5:sSup>
            </ns5:e>
          </ns5:nary>
          <ns5:r>
            <ns5:rPr>
              <ns5:sty ns5:val="p"/>
            </ns5:rPr>
            <ns5:t>.</ns5:t>
          </ns5:r>
        </ns5:oMath>
      </ns5:oMathPara>
    </w:p>
    <w:p>
      <w:pPr>
        <w:pStyle w:val="FirstParagraph"/>
      </w:pPr>
      <w:r>
        <w:t xml:space="preserve">Keep the two targets separate. The denominator</w:t>
      </w:r>
      <w:r>
        <w:t xml:space="preserve"> </w:t>
      </w:r>
      <ns5:oMath>
        <ns5:r>
          <ns5:t>n</ns5:t>
        </ns5:r>
        <ns5:r>
          <ns5:rPr>
            <ns5:sty ns5:val="p"/>
          </ns5:rPr>
          <ns5:t>−</ns5:t>
        </ns5:r>
        <ns5:r>
          <ns5:t>1</ns5:t>
        </ns5:r>
      </ns5:oMath>
      <w:r>
        <w:t xml:space="preserve"> </w:t>
      </w:r>
      <w:r>
        <w:t xml:space="preserve">belongs to the corrected sample variance used to estimate population variability, while division by</w:t>
      </w:r>
      <w:r>
        <w:t xml:space="preserve"> </w:t>
      </w:r>
      <ns5:oMath>
        <ns5:r>
          <ns5:t>N</ns5:t>
        </ns5:r>
      </ns5:oMath>
      <w:r>
        <w:t xml:space="preserve"> </w:t>
      </w:r>
      <w:r>
        <w:t xml:space="preserve">describes the complete population values themselves.</w:t>
      </w:r>
    </w:p>
    <w:p>
      <w:pPr>
        <w:pStyle w:val="BodyText"/>
      </w:pPr>
      <w:r>
        <w:t xml:space="preserve">Because variance is expressed in squared units, take its square root to return to the original measurement unit. The sample standard deviation is therefore:</w:t>
      </w:r>
    </w:p>
    <w:p>
      <w:pPr>
        <w:pStyle w:val="BodyText"/>
      </w:pPr>
      <ns5:oMathPara>
        <ns5:oMathParaPr>
          <ns5:jc ns5:val="center"/>
        </ns5:oMathParaPr>
        <ns5:oMath>
          <ns5:r>
            <ns5:t>s</ns5:t>
          </ns5:r>
          <ns5:r>
            <ns5:rPr>
              <ns5:sty ns5:val="p"/>
            </ns5:rPr>
            <ns5:t>=</ns5:t>
          </ns5:r>
          <ns5:rad>
            <ns5:radPr>
              <ns5:degHide ns5:val="on"/>
            </ns5:radPr>
            <ns5:deg/>
            <ns5:e>
              <ns5:f>
                <ns5:fPr>
                  <ns5:type ns5:val="bar"/>
                </ns5:fPr>
                <ns5:num>
                  <ns5:r>
                    <ns5:t>1</ns5:t>
                  </ns5:r>
                </ns5:num>
                <ns5:den>
                  <ns5:r>
                    <ns5:t>n</ns5:t>
                  </ns5:r>
                  <ns5:r>
                    <ns5:rPr>
                      <ns5:sty ns5:val="p"/>
                    </ns5:rPr>
                    <ns5:t>−</ns5:t>
                  </ns5:r>
                  <ns5:r>
                    <ns5:t>1</ns5:t>
                  </ns5:r>
                </ns5:den>
              </ns5:f>
              <ns5:nary>
                <ns5:naryPr>
                  <ns5:chr ns5:val="∑"/>
                  <ns5:limLoc ns5:val="undOvr"/>
                  <ns5:subHide ns5:val="off"/>
                  <ns5:supHide ns5:val="off"/>
                </ns5:naryPr>
                <ns5:sub>
                  <ns5:r>
                    <ns5:t>i</ns5:t>
                  </ns5:r>
                  <ns5:r>
                    <ns5:rPr>
                      <ns5:sty ns5:val="p"/>
                    </ns5:rPr>
                    <ns5:t>=</ns5:t>
                  </ns5:r>
                  <ns5:r>
                    <ns5:t>1</ns5:t>
                  </ns5:r>
                </ns5:sub>
                <ns5:sup>
                  <ns5:r>
                    <ns5:t>n</ns5:t>
                  </ns5:r>
                </ns5:sup>
                <ns5:e>
                  <ns5:sSup>
                    <ns5:e>
                      <ns5:d>
                        <ns5:dPr>
                          <ns5:begChr ns5:val="("/>
                          <ns5:sepChr ns5:val=""/>
                          <ns5:endChr ns5:val=")"/>
                          <ns5:grow/>
                        </ns5:dPr>
                        <ns5:e>
                          <ns5:sSub>
                            <ns5:e>
                              <ns5:r>
                                <ns5:t>x</ns5:t>
                              </ns5:r>
                            </ns5:e>
                            <ns5:sub>
                              <ns5:r>
                                <ns5:t>i</ns5:t>
                              </ns5:r>
                            </ns5:sub>
                          </ns5:sSub>
                          <ns5:r>
                            <ns5:rPr>
                              <ns5:sty ns5:val="p"/>
                            </ns5:rPr>
                            <ns5:t>−</ns5:t>
                          </ns5:r>
                          <ns5:acc>
                            <ns5:accPr>
                              <ns5:chr ns5:val="‾"/>
                            </ns5:accPr>
                            <ns5:e>
                              <ns5:r>
                                <ns5:t>x</ns5:t>
                              </ns5:r>
                            </ns5:e>
                          </ns5:acc>
                        </ns5:e>
                      </ns5:d>
                    </ns5:e>
                    <ns5:sup>
                      <ns5:r>
                        <ns5:t>2</ns5:t>
                      </ns5:r>
                    </ns5:sup>
                  </ns5:sSup>
                </ns5:e>
              </ns5:nary>
            </ns5:e>
          </ns5:rad>
        </ns5:oMath>
      </ns5:oMathPara>
    </w:p>
    <w:p>
      <w:pPr>
        <w:pStyle w:val="FirstParagraph"/>
      </w:pPr>
      <w:r>
        <w:t xml:space="preserve">A standardized score expresses one value in standard-deviation units. It subtracts the sample mean and divides by the sample standard deviation:</w:t>
      </w:r>
    </w:p>
    <w:p>
      <w:pPr>
        <w:pStyle w:val="BodyText"/>
      </w:pPr>
      <ns5:oMathPara>
        <ns5:oMathParaPr>
          <ns5:jc ns5:val="center"/>
        </ns5:oMathParaPr>
        <ns5:oMath>
          <ns5:sSub>
            <ns5:e>
              <ns5:r>
                <ns5:t>z</ns5:t>
              </ns5:r>
            </ns5:e>
            <ns5:sub>
              <ns5:r>
                <ns5:t>i</ns5:t>
              </ns5:r>
            </ns5:sub>
          </ns5:sSub>
          <ns5:r>
            <ns5:rPr>
              <ns5:sty ns5:val="p"/>
            </ns5:rPr>
            <ns5:t>=</ns5:t>
          </ns5:r>
          <ns5:f>
            <ns5:fPr>
              <ns5:type ns5:val="bar"/>
            </ns5:fPr>
            <ns5:num>
              <ns5:sSub>
                <ns5:e>
                  <ns5:r>
                    <ns5:t>x</ns5:t>
                  </ns5:r>
                </ns5:e>
                <ns5:sub>
                  <ns5:r>
                    <ns5:t>i</ns5:t>
                  </ns5:r>
                </ns5:sub>
              </ns5:sSub>
              <ns5:r>
                <ns5:rPr>
                  <ns5:sty ns5:val="p"/>
                </ns5:rPr>
                <ns5:t>−</ns5:t>
              </ns5:r>
              <ns5:acc>
                <ns5:accPr>
                  <ns5:chr ns5:val="‾"/>
                </ns5:accPr>
                <ns5:e>
                  <ns5:r>
                    <ns5:t>x</ns5:t>
                  </ns5:r>
                </ns5:e>
              </ns5:acc>
            </ns5:num>
            <ns5:den>
              <ns5:r>
                <ns5:t>s</ns5:t>
              </ns5:r>
            </ns5:den>
          </ns5:f>
        </ns5:oMath>
      </ns5:oMathPara>
    </w:p>
    <w:p>
      <w:pPr>
        <w:pStyle w:val="FirstParagraph"/>
      </w:pPr>
      <w:r>
        <w:t xml:space="preserve">A positive</w:t>
      </w:r>
      <w:r>
        <w:t xml:space="preserve"> </w:t>
      </w:r>
      <ns5:oMath>
        <ns5:sSub>
          <ns5:e>
            <ns5:r>
              <ns5:t>z</ns5:t>
            </ns5:r>
          </ns5:e>
          <ns5:sub>
            <ns5:r>
              <ns5:t>i</ns5:t>
            </ns5:r>
          </ns5:sub>
        </ns5:sSub>
      </ns5:oMath>
      <w:r>
        <w:t xml:space="preserve"> </w:t>
      </w:r>
      <w:r>
        <w:t xml:space="preserve">places the value above the mean, a negative</w:t>
      </w:r>
      <w:r>
        <w:t xml:space="preserve"> </w:t>
      </w:r>
      <ns5:oMath>
        <ns5:sSub>
          <ns5:e>
            <ns5:r>
              <ns5:t>z</ns5:t>
            </ns5:r>
          </ns5:e>
          <ns5:sub>
            <ns5:r>
              <ns5:t>i</ns5:t>
            </ns5:r>
          </ns5:sub>
        </ns5:sSub>
      </ns5:oMath>
      <w:r>
        <w:t xml:space="preserve"> </w:t>
      </w:r>
      <w:r>
        <w:t xml:space="preserve">places it below the mean, and the magnitude reports the distance in standard deviations. Standardization changes the unit and reference point, but it does not change the order or shape of the observations.</w:t>
      </w:r>
    </w:p>
    <w:p>
      <w:pPr>
        <w:pStyle w:val="BodyText"/>
      </w:pPr>
      <w:r>
        <w:t xml:space="preserve">The median and quantiles begin with the ordered observations. The first quartile</w:t>
      </w:r>
      <w:r>
        <w:t xml:space="preserve"> </w:t>
      </w:r>
      <ns5:oMath>
        <ns5:sSub>
          <ns5:e>
            <ns5:r>
              <ns5:t>Q</ns5:t>
            </ns5:r>
          </ns5:e>
          <ns5:sub>
            <ns5:r>
              <ns5:t>1</ns5:t>
            </ns5:r>
          </ns5:sub>
        </ns5:sSub>
      </ns5:oMath>
      <w:r>
        <w:t xml:space="preserve"> </w:t>
      </w:r>
      <w:r>
        <w:t xml:space="preserve">marks the lower quarter, the median</w:t>
      </w:r>
      <w:r>
        <w:t xml:space="preserve"> </w:t>
      </w:r>
      <ns5:oMath>
        <ns5:sSub>
          <ns5:e>
            <ns5:r>
              <ns5:t>Q</ns5:t>
            </ns5:r>
          </ns5:e>
          <ns5:sub>
            <ns5:r>
              <ns5:t>2</ns5:t>
            </ns5:r>
          </ns5:sub>
        </ns5:sSub>
      </ns5:oMath>
      <w:r>
        <w:t xml:space="preserve"> </w:t>
      </w:r>
      <w:r>
        <w:t xml:space="preserve">marks the halfway point, and the third quartile</w:t>
      </w:r>
      <w:r>
        <w:t xml:space="preserve"> </w:t>
      </w:r>
      <ns5:oMath>
        <ns5:sSub>
          <ns5:e>
            <ns5:r>
              <ns5:t>Q</ns5:t>
            </ns5:r>
          </ns5:e>
          <ns5:sub>
            <ns5:r>
              <ns5:t>3</ns5:t>
            </ns5:r>
          </ns5:sub>
        </ns5:sSub>
      </ns5:oMath>
      <w:r>
        <w:t xml:space="preserve"> </w:t>
      </w:r>
      <w:r>
        <w:t xml:space="preserve">marks the lower three quarters. The range and interquartile range are</w:t>
      </w:r>
    </w:p>
    <w:p>
      <w:pPr>
        <w:pStyle w:val="BodyText"/>
      </w:pPr>
      <ns5:oMathPara>
        <ns5:oMathParaPr>
          <ns5:jc ns5:val="center"/>
        </ns5:oMathParaPr>
        <ns5:oMath>
          <ns5:r>
            <ns5:rPr>
              <ns5:nor/>
              <ns5:sty ns5:val="p"/>
            </ns5:rPr>
            <ns5:t>range</ns5:t>
          </ns5:r>
          <ns5:r>
            <ns5:rPr>
              <ns5:sty ns5:val="p"/>
            </ns5:rPr>
            <ns5:t>=</ns5:t>
          </ns5:r>
          <ns5:sSub>
            <ns5:e>
              <ns5:r>
                <ns5:t>x</ns5:t>
              </ns5:r>
            </ns5:e>
            <ns5:sub>
              <ns5:r>
                <ns5:rPr>
                  <ns5:sty ns5:val="p"/>
                </ns5:rPr>
                <ns5:t>max</ns5:t>
              </ns5:r>
            </ns5:sub>
          </ns5:sSub>
          <ns5:r>
            <ns5:rPr>
              <ns5:sty ns5:val="p"/>
            </ns5:rPr>
            <ns5:t>−</ns5:t>
          </ns5:r>
          <ns5:sSub>
            <ns5:e>
              <ns5:r>
                <ns5:t>x</ns5:t>
              </ns5:r>
            </ns5:e>
            <ns5:sub>
              <ns5:r>
                <ns5:rPr>
                  <ns5:sty ns5:val="p"/>
                </ns5:rPr>
                <ns5:t>min</ns5:t>
              </ns5:r>
            </ns5:sub>
          </ns5:sSub>
          <ns5:r>
            <ns5:rPr>
              <ns5:sty ns5:val="p"/>
            </ns5:rPr>
            <ns5:t>,</ns5:t>
          </ns5:r>
          <ns5:r>
            <ns5:t>  </ns5:t>
          </ns5:r>
          <ns5:r>
            <ns5:t>I</ns5:t>
          </ns5:r>
          <ns5:r>
            <ns5:t>Q</ns5:t>
          </ns5:r>
          <ns5:r>
            <ns5:t>R</ns5:t>
          </ns5:r>
          <ns5:r>
            <ns5:rPr>
              <ns5:sty ns5:val="p"/>
            </ns5:rPr>
            <ns5:t>=</ns5:t>
          </ns5:r>
          <ns5:sSub>
            <ns5:e>
              <ns5:r>
                <ns5:t>Q</ns5:t>
              </ns5:r>
            </ns5:e>
            <ns5:sub>
              <ns5:r>
                <ns5:t>3</ns5:t>
              </ns5:r>
            </ns5:sub>
          </ns5:sSub>
          <ns5:r>
            <ns5:rPr>
              <ns5:sty ns5:val="p"/>
            </ns5:rPr>
            <ns5:t>−</ns5:t>
          </ns5:r>
          <ns5:sSub>
            <ns5:e>
              <ns5:r>
                <ns5:t>Q</ns5:t>
              </ns5:r>
            </ns5:e>
            <ns5:sub>
              <ns5:r>
                <ns5:t>1</ns5:t>
              </ns5:r>
            </ns5:sub>
          </ns5:sSub>
          <ns5:r>
            <ns5:rPr>
              <ns5:sty ns5:val="p"/>
            </ns5:rPr>
            <ns5:t>.</ns5:t>
          </ns5:r>
        </ns5:oMath>
      </ns5:oMathPara>
    </w:p>
    <w:p>
      <w:pPr>
        <w:pStyle w:val="FirstParagraph"/>
      </w:pPr>
      <w:r>
        <w:t xml:space="preserve">Sample-quantile conventions can interpolate differently, so software may report slightly different quartiles for a small dataset. A common boxplot diagnostic uses the inner fences</w:t>
      </w:r>
    </w:p>
    <w:p>
      <w:pPr>
        <w:pStyle w:val="BodyText"/>
      </w:pPr>
      <ns5:oMathPara>
        <ns5:oMathParaPr>
          <ns5:jc ns5:val="center"/>
        </ns5:oMathParaPr>
        <ns5:oMath>
          <ns5:sSub>
            <ns5:e>
              <ns5:r>
                <ns5:t>Q</ns5:t>
              </ns5:r>
            </ns5:e>
            <ns5:sub>
              <ns5:r>
                <ns5:t>1</ns5:t>
              </ns5:r>
            </ns5:sub>
          </ns5:sSub>
          <ns5:r>
            <ns5:rPr>
              <ns5:sty ns5:val="p"/>
            </ns5:rPr>
            <ns5:t>−</ns5:t>
          </ns5:r>
          <ns5:r>
            <ns5:t>1.5</ns5:t>
          </ns5:r>
          <ns5:d>
            <ns5:dPr>
              <ns5:begChr ns5:val="("/>
              <ns5:sepChr ns5:val=""/>
              <ns5:endChr ns5:val=")"/>
              <ns5:grow/>
            </ns5:dPr>
            <ns5:e>
              <ns5:r>
                <ns5:t>I</ns5:t>
              </ns5:r>
              <ns5:r>
                <ns5:t>Q</ns5:t>
              </ns5:r>
              <ns5:r>
                <ns5:t>R</ns5:t>
              </ns5:r>
            </ns5:e>
          </ns5:d>
          <ns5:r>
            <ns5:t>  </ns5:t>
          </ns5:r>
          <ns5:r>
            <ns5:rPr>
              <ns5:nor/>
              <ns5:sty ns5:val="p"/>
            </ns5:rPr>
            <ns5:t>and</ns5:t>
          </ns5:r>
          <ns5:r>
            <ns5:t>  </ns5:t>
          </ns5:r>
          <ns5:sSub>
            <ns5:e>
              <ns5:r>
                <ns5:t>Q</ns5:t>
              </ns5:r>
            </ns5:e>
            <ns5:sub>
              <ns5:r>
                <ns5:t>3</ns5:t>
              </ns5:r>
            </ns5:sub>
          </ns5:sSub>
          <ns5:r>
            <ns5:rPr>
              <ns5:sty ns5:val="p"/>
            </ns5:rPr>
            <ns5:t>+</ns5:t>
          </ns5:r>
          <ns5:r>
            <ns5:t>1.5</ns5:t>
          </ns5:r>
          <ns5:d>
            <ns5:dPr>
              <ns5:begChr ns5:val="("/>
              <ns5:sepChr ns5:val=""/>
              <ns5:endChr ns5:val=")"/>
              <ns5:grow/>
            </ns5:dPr>
            <ns5:e>
              <ns5:r>
                <ns5:t>I</ns5:t>
              </ns5:r>
              <ns5:r>
                <ns5:t>Q</ns5:t>
              </ns5:r>
              <ns5:r>
                <ns5:t>R</ns5:t>
              </ns5:r>
            </ns5:e>
          </ns5:d>
          <ns5:r>
            <ns5:rPr>
              <ns5:sty ns5:val="p"/>
            </ns5:rPr>
            <ns5:t>.</ns5:t>
          </ns5:r>
        </ns5:oMath>
      </ns5:oMathPara>
    </w:p>
    <w:p>
      <w:pPr>
        <w:pStyle w:val="FirstParagraph"/>
      </w:pPr>
      <w:r>
        <w:t xml:space="preserve">Values beyond a fence are potential outliers to investigate, not automatic errors to delete. The whiskers stop at the most extreme observed values still inside the fences; they do not necessarily end at the fence values themselves.</w:t>
      </w:r>
    </w:p>
    <w:p>
      <w:pPr>
        <w:pStyle w:val="BodyText"/>
      </w:pPr>
      <w:r>
        <w:t xml:space="preserve">For a linear transformation</w:t>
      </w:r>
      <w:r>
        <w:t xml:space="preserve"> </w:t>
      </w:r>
      <ns5:oMath>
        <ns5:r>
          <ns5:t>Y</ns5:t>
        </ns5:r>
        <ns5:r>
          <ns5:rPr>
            <ns5:sty ns5:val="p"/>
          </ns5:rPr>
          <ns5:t>=</ns5:t>
        </ns5:r>
        <ns5:r>
          <ns5:t>a</ns5:t>
        </ns5:r>
        <ns5:r>
          <ns5:rPr>
            <ns5:sty ns5:val="p"/>
          </ns5:rPr>
          <ns5:t>+</ns5:t>
        </ns5:r>
        <ns5:r>
          <ns5:t>b</ns5:t>
        </ns5:r>
        <ns5:r>
          <ns5:t>X</ns5:t>
        </ns5:r>
      </ns5:oMath>
      <w:r>
        <w:t xml:space="preserve">, the center and spread change according to</w:t>
      </w:r>
    </w:p>
    <w:p>
      <w:pPr>
        <w:pStyle w:val="BodyText"/>
      </w:pPr>
      <ns5:oMathPara>
        <ns5:oMathParaPr>
          <ns5:jc ns5:val="center"/>
        </ns5:oMathParaPr>
        <ns5:oMath>
          <ns5:acc>
            <ns5:accPr>
              <ns5:chr ns5:val="‾"/>
            </ns5:accPr>
            <ns5:e>
              <ns5:r>
                <ns5:t>y</ns5:t>
              </ns5:r>
            </ns5:e>
          </ns5:acc>
          <ns5:r>
            <ns5:rPr>
              <ns5:sty ns5:val="p"/>
            </ns5:rPr>
            <ns5:t>=</ns5:t>
          </ns5:r>
          <ns5:r>
            <ns5:t>a</ns5:t>
          </ns5:r>
          <ns5:r>
            <ns5:rPr>
              <ns5:sty ns5:val="p"/>
            </ns5:rPr>
            <ns5:t>+</ns5:t>
          </ns5:r>
          <ns5:r>
            <ns5:t>b</ns5:t>
          </ns5:r>
          <ns5:acc>
            <ns5:accPr>
              <ns5:chr ns5:val="‾"/>
            </ns5:accPr>
            <ns5:e>
              <ns5:r>
                <ns5:t>x</ns5:t>
              </ns5:r>
            </ns5:e>
          </ns5:acc>
          <ns5:r>
            <ns5:rPr>
              <ns5:sty ns5:val="p"/>
            </ns5:rPr>
            <ns5:t>,</ns5:t>
          </ns5:r>
          <ns5:r>
            <ns5:t>  </ns5:t>
          </ns5:r>
          <ns5:sSubSup>
            <ns5:e>
              <ns5:r>
                <ns5:t>s</ns5:t>
              </ns5:r>
            </ns5:e>
            <ns5:sub>
              <ns5:r>
                <ns5:t>y</ns5:t>
              </ns5:r>
            </ns5:sub>
            <ns5:sup>
              <ns5:r>
                <ns5:t>2</ns5:t>
              </ns5:r>
            </ns5:sup>
          </ns5:sSubSup>
          <ns5:r>
            <ns5:rPr>
              <ns5:sty ns5:val="p"/>
            </ns5:rPr>
            <ns5:t>=</ns5:t>
          </ns5:r>
          <ns5:sSup>
            <ns5:e>
              <ns5:r>
                <ns5:t>b</ns5:t>
              </ns5:r>
            </ns5:e>
            <ns5:sup>
              <ns5:r>
                <ns5:t>2</ns5:t>
              </ns5:r>
            </ns5:sup>
          </ns5:sSup>
          <ns5:sSubSup>
            <ns5:e>
              <ns5:r>
                <ns5:t>s</ns5:t>
              </ns5:r>
            </ns5:e>
            <ns5:sub>
              <ns5:r>
                <ns5:t>x</ns5:t>
              </ns5:r>
            </ns5:sub>
            <ns5:sup>
              <ns5:r>
                <ns5:t>2</ns5:t>
              </ns5:r>
            </ns5:sup>
          </ns5:sSubSup>
          <ns5:r>
            <ns5:rPr>
              <ns5:sty ns5:val="p"/>
            </ns5:rPr>
            <ns5:t>,</ns5:t>
          </ns5:r>
          <ns5:r>
            <ns5:t>  </ns5:t>
          </ns5:r>
          <ns5:sSub>
            <ns5:e>
              <ns5:r>
                <ns5:t>s</ns5:t>
              </ns5:r>
            </ns5:e>
            <ns5:sub>
              <ns5:r>
                <ns5:t>y</ns5:t>
              </ns5:r>
            </ns5:sub>
          </ns5:sSub>
          <ns5:r>
            <ns5:rPr>
              <ns5:sty ns5:val="p"/>
            </ns5:rPr>
            <ns5:t>=</ns5:t>
          </ns5:r>
          <ns5:d>
            <ns5:dPr>
              <ns5:begChr ns5:val="|"/>
              <ns5:sepChr ns5:val=""/>
              <ns5:endChr ns5:val="|"/>
              <ns5:grow/>
            </ns5:dPr>
            <ns5:e>
              <ns5:r>
                <ns5:t>b</ns5:t>
              </ns5:r>
            </ns5:e>
          </ns5:d>
          <ns5:sSub>
            <ns5:e>
              <ns5:r>
                <ns5:t>s</ns5:t>
              </ns5:r>
            </ns5:e>
            <ns5:sub>
              <ns5:r>
                <ns5:t>x</ns5:t>
              </ns5:r>
            </ns5:sub>
          </ns5:sSub>
          <ns5:r>
            <ns5:rPr>
              <ns5:sty ns5:val="p"/>
            </ns5:rPr>
            <ns5:t>.</ns5:t>
          </ns5:r>
        </ns5:oMath>
      </ns5:oMathPara>
    </w:p>
    <w:p>
      <w:pPr>
        <w:pStyle w:val="FirstParagraph"/>
      </w:pPr>
      <w:r>
        <w:t xml:space="preserve">The shift</w:t>
      </w:r>
      <w:r>
        <w:t xml:space="preserve"> </w:t>
      </w:r>
      <ns5:oMath>
        <ns5:r>
          <ns5:t>a</ns5:t>
        </ns5:r>
      </ns5:oMath>
      <w:r>
        <w:t xml:space="preserve"> </w:t>
      </w:r>
      <w:r>
        <w:t xml:space="preserve">changes location but not spread. The multiplier</w:t>
      </w:r>
      <w:r>
        <w:t xml:space="preserve"> </w:t>
      </w:r>
      <ns5:oMath>
        <ns5:r>
          <ns5:t>b</ns5:t>
        </ns5:r>
      </ns5:oMath>
      <w:r>
        <w:t xml:space="preserve"> </w:t>
      </w:r>
      <w:r>
        <w:t xml:space="preserve">changes distances by</w:t>
      </w:r>
      <w:r>
        <w:t xml:space="preserve"> </w:t>
      </w:r>
      <ns5:oMath>
        <ns5:d>
          <ns5:dPr>
            <ns5:begChr ns5:val="|"/>
            <ns5:sepChr ns5:val=""/>
            <ns5:endChr ns5:val="|"/>
            <ns5:grow/>
          </ns5:dPr>
          <ns5:e>
            <ns5:r>
              <ns5:t>b</ns5:t>
            </ns5:r>
          </ns5:e>
        </ns5:d>
      </ns5:oMath>
      <w:r>
        <w:t xml:space="preserve">, so variance changes by</w:t>
      </w:r>
      <w:r>
        <w:t xml:space="preserve"> </w:t>
      </w:r>
      <ns5:oMath>
        <ns5:sSup>
          <ns5:e>
            <ns5:r>
              <ns5:t>b</ns5:t>
            </ns5:r>
          </ns5:e>
          <ns5:sup>
            <ns5:r>
              <ns5:t>2</ns5:t>
            </ns5:r>
          </ns5:sup>
        </ns5:sSup>
      </ns5:oMath>
      <w:r>
        <w:t xml:space="preserve">. Standardization is the special case that subtracts the mean and divides by the standard deviation.</w:t>
      </w:r>
    </w:p>
    <w:p>
      <w:pPr>
        <w:pStyle w:val="BodyText"/>
      </w:pPr>
      <w:r>
        <w:t xml:space="preserve">Histogram height requires one final check. If bin</w:t>
      </w:r>
      <w:r>
        <w:t xml:space="preserve"> </w:t>
      </w:r>
      <ns5:oMath>
        <ns5:r>
          <ns5:t>j</ns5:t>
        </ns5:r>
      </ns5:oMath>
      <w:r>
        <w:t xml:space="preserve"> </w:t>
      </w:r>
      <w:r>
        <w:t xml:space="preserve">has relative frequency</w:t>
      </w:r>
      <w:r>
        <w:t xml:space="preserve"> </w:t>
      </w:r>
      <ns5:oMath>
        <ns5:sSub>
          <ns5:e>
            <ns5:r>
              <ns5:t>f</ns5:t>
            </ns5:r>
          </ns5:e>
          <ns5:sub>
            <ns5:r>
              <ns5:t>j</ns5:t>
            </ns5:r>
          </ns5:sub>
        </ns5:sSub>
      </ns5:oMath>
      <w:r>
        <w:t xml:space="preserve"> </w:t>
      </w:r>
      <w:r>
        <w:t xml:space="preserve">and width</w:t>
      </w:r>
      <w:r>
        <w:t xml:space="preserve"> </w:t>
      </w:r>
      <ns5:oMath>
        <ns5:sSub>
          <ns5:e>
            <ns5:r>
              <ns5:t>w</ns5:t>
            </ns5:r>
          </ns5:e>
          <ns5:sub>
            <ns5:r>
              <ns5:t>j</ns5:t>
            </ns5:r>
          </ns5:sub>
        </ns5:sSub>
      </ns5:oMath>
      <w:r>
        <w:t xml:space="preserve">, its density height is</w:t>
      </w:r>
    </w:p>
    <w:p>
      <w:pPr>
        <w:pStyle w:val="BodyText"/>
      </w:pPr>
      <ns5:oMathPara>
        <ns5:oMathParaPr>
          <ns5:jc ns5:val="center"/>
        </ns5:oMathParaPr>
        <ns5:oMath>
          <ns5:sSub>
            <ns5:e>
              <ns5:r>
                <ns5:t>h</ns5:t>
              </ns5:r>
            </ns5:e>
            <ns5:sub>
              <ns5:r>
                <ns5:t>j</ns5:t>
              </ns5:r>
            </ns5:sub>
          </ns5:sSub>
          <ns5:r>
            <ns5:rPr>
              <ns5:sty ns5:val="p"/>
            </ns5:rPr>
            <ns5:t>=</ns5:t>
          </ns5:r>
          <ns5:f>
            <ns5:fPr>
              <ns5:type ns5:val="bar"/>
            </ns5:fPr>
            <ns5:num>
              <ns5:sSub>
                <ns5:e>
                  <ns5:r>
                    <ns5:t>f</ns5:t>
                  </ns5:r>
                </ns5:e>
                <ns5:sub>
                  <ns5:r>
                    <ns5:t>j</ns5:t>
                  </ns5:r>
                </ns5:sub>
              </ns5:sSub>
            </ns5:num>
            <ns5:den>
              <ns5:sSub>
                <ns5:e>
                  <ns5:r>
                    <ns5:t>w</ns5:t>
                  </ns5:r>
                </ns5:e>
                <ns5:sub>
                  <ns5:r>
                    <ns5:t>j</ns5:t>
                  </ns5:r>
                </ns5:sub>
              </ns5:sSub>
            </ns5:den>
          </ns5:f>
          <ns5:r>
            <ns5:rPr>
              <ns5:sty ns5:val="p"/>
            </ns5:rPr>
            <ns5:t>.</ns5:t>
          </ns5:r>
        </ns5:oMath>
      </ns5:oMathPara>
    </w:p>
    <w:p>
      <w:pPr>
        <w:pStyle w:val="FirstParagraph"/>
      </w:pPr>
      <w:r>
        <w:t xml:space="preserve">The bar area is then</w:t>
      </w:r>
      <w:r>
        <w:t xml:space="preserve"> </w:t>
      </w:r>
      <ns5:oMath>
        <ns5:sSub>
          <ns5:e>
            <ns5:r>
              <ns5:t>h</ns5:t>
            </ns5:r>
          </ns5:e>
          <ns5:sub>
            <ns5:r>
              <ns5:t>j</ns5:t>
            </ns5:r>
          </ns5:sub>
        </ns5:sSub>
        <ns5:sSub>
          <ns5:e>
            <ns5:r>
              <ns5:t>w</ns5:t>
            </ns5:r>
          </ns5:e>
          <ns5:sub>
            <ns5:r>
              <ns5:t>j</ns5:t>
            </ns5:r>
          </ns5:sub>
        </ns5:sSub>
        <ns5:r>
          <ns5:rPr>
            <ns5:sty ns5:val="p"/>
          </ns5:rPr>
          <ns5:t>=</ns5:t>
        </ns5:r>
        <ns5:sSub>
          <ns5:e>
            <ns5:r>
              <ns5:t>f</ns5:t>
            </ns5:r>
          </ns5:e>
          <ns5:sub>
            <ns5:r>
              <ns5:t>j</ns5:t>
            </ns5:r>
          </ns5:sub>
        </ns5:sSub>
      </ns5:oMath>
      <w:r>
        <w:t xml:space="preserve">. Equal-width bins allow height to track frequency directly. Unequal-width bins require density heights so that area, rather than height alone, continues to represent frequency.</w:t>
      </w:r>
    </w:p>
    <w:bookmarkEnd w:id="45"/>
    <w:bookmarkStart w:id="50" w:name="reading-the-explanatory-figure"/>
    <w:p>
      <w:pPr>
        <w:pStyle w:val="Heading2"/>
      </w:pPr>
      <w:r>
        <w:t xml:space="preserve">Reading the explanatory figure</w:t>
      </w:r>
    </w:p>
    <w:tbl>
      <w:tblPr>
        <w:tblStyle w:val="Table"/>
        <w:tblW w:w="9524" w:type="dxa"/>
        <w:tblLayout w:val="fixed"/>
        <w:tblCellMar>
          <w:top w:w="0" w:type="dxa"/>
          <w:left w:w="0" w:type="dxa"/>
          <w:bottom w:w="0" w:type="dxa"/>
          <w:right w:w="0" w:type="dxa"/>
        </w:tblCellMar>
        <w:tblLook w:firstRow="0" w:lastRow="0" w:firstColumn="0" w:lastColumn="0" w:noHBand="0" w:noVBand="0" w:val="0000"/>
      </w:tblPr>
      <w:tblGrid>
        <w:gridCol w:w="9524"/>
      </w:tblGrid>
      <w:tr>
        <w:trPr>
          <w:cantSplit/>
        </w:trPr>
        <w:tc>
          <w:tcPr>
            <w:tcW w:w="9524" w:type="dxa"/>
          </w:tcPr>
          <w:bookmarkStart w:id="49" w:name="fig-summary-t01"/>
          <w:p>
            <w:pPr>
              <w:pStyle w:val="Compact"/>
              <w:keepNext/>
              <w:jc w:val="center"/>
            </w:pPr>
            <w:r>
              <w:drawing>
                <ns1:inline>
                  <ns1:extent cx="5561584" cy="3283344"/>
                  <ns1:effectExtent b="0" l="0" r="0" t="0"/>
                  <ns1:docPr descr="Histogram of simulated exam anxiety scores from zero to forty, with the tallest bars near the center and thinner tails toward both ends." title="Figure 1" id="47" name="Picture"/>
                  <ns2:graphic>
                    <ns2:graphicData uri="http://schemas.openxmlformats.org/drawingml/2006/picture">
                      <ns3:pic>
                        <ns3:nvPicPr>
                          <ns3:cNvPr descr="assets/topic-01-descriptive-statistics-summary-figure-en.png" id="48" name="Picture"/>
                          <ns3:cNvPicPr>
                            <ns2:picLocks noChangeArrowheads="1" noChangeAspect="1"/>
                          </ns3:cNvPicPr>
                        </ns3:nvPicPr>
                        <ns3:blipFill>
                          <ns2:blip ns4:embed="rId46"/>
                          <ns2:stretch>
                            <ns2:fillRect/>
                          </ns2:stretch>
                        </ns3:blipFill>
                        <ns3:spPr bwMode="auto">
                          <ns2:xfrm>
                            <ns2:off x="0" y="0"/>
                            <ns2:ext cx="5561584" cy="3283344"/>
                          </ns2:xfrm>
                          <ns2:prstGeom prst="rect">
                            <ns2:avLst/>
                          </ns2:prstGeom>
                          <ns2:noFill/>
                          <ns2:ln w="9525">
                            <ns2:noFill/>
                            <ns2:headEnd/>
                            <ns2:tailEnd/>
                          </ns2:ln>
                        </ns3:spPr>
                      </ns3:pic>
                    </ns2:graphicData>
                  </ns2:graphic>
                </ns1:inline>
              </w:drawing>
            </w:r>
          </w:p>
          <w:p>
            <w:pPr>
              <w:pStyle w:val="ImageCaption"/>
              <w:keepNext/>
              <w:keepLines/>
              <w:widowControl/>
              <w:spacing w:before="120" w:after="80"/>
              <w:jc w:val="left"/>
            </w:pPr>
            <w:r>
              <w:t xml:space="preserve">Figure 1: Histogram of simulated exam anxiety scores from zero to forty, with the tallest bars near the center and thinner tails toward both ends.</w:t>
            </w:r>
          </w:p>
          <w:bookmarkEnd w:id="49"/>
        </w:tc>
      </w:tr>
    </w:tbl>
    <w:p>
      <w:pPr>
        <w:pStyle w:val="BodyText"/>
      </w:pPr>
      <w:r>
        <w:t xml:space="preserve">Read the horizontal axis first. It gives exam-anxiety scores on a scale from 0 to 40. The vertical axis gives the number of students, so the height of each bar is a frequency. Bars around scores 18 to 22 are the tallest, which places the main concentration near the center of the scale. Fewer observations appear at the lower and upper ends. One bar close to 40 shows that at least one high value is present, but the graph alone does not tell you whether that value is erroneous. You would return to the data definition and recording process before making that judgment.</w:t>
      </w:r>
    </w:p>
    <w:p>
      <w:pPr>
        <w:pStyle w:val="BodyText"/>
      </w:pPr>
      <w:r>
        <w:t xml:space="preserve">The bars touch because a numerical scale is continuous across neighboring intervals. Their widths matter: changing the interval boundaries can make the same observations look more or less detailed. The figure should therefore be read as a view of one distribution, not as a set of separate categories. It supports statements about center, spread, shape, and unusual observations. It does not identify a cause of anxiety, compare a population with another population, or establish that the simulated pattern occurs among real students.</w:t>
      </w:r>
    </w:p>
    <w:bookmarkEnd w:id="50"/>
    <w:bookmarkStart w:id="51" w:name="interpretation-checklist"/>
    <w:p>
      <w:pPr>
        <w:pStyle w:val="Heading2"/>
      </w:pPr>
      <w:r>
        <w:t xml:space="preserve">Interpretation checklist</w:t>
      </w:r>
    </w:p>
    <w:p>
      <w:pPr>
        <w:pStyle w:val="FirstParagraph"/>
      </w:pPr>
      <w:r>
        <w:t xml:space="preserve">Start every descriptive account by naming the cases, the variable, its scale, and the valid range. State the number of valid and missing observations. For a categorical variable, report counts together with their denominator and proportions. For a numerical variable, pair a plot with measures of center and variability. Use the mean and standard deviation when their interpretation fits the distribution, and also examine the median and interquartile range when skew or unusual observations matter.</w:t>
      </w:r>
    </w:p>
    <w:p>
      <w:pPr>
        <w:pStyle w:val="BodyText"/>
      </w:pPr>
      <w:r>
        <w:t xml:space="preserve">Keep the unit visible. A standard deviation of five points means something different from five hours. Do not describe a group as homogeneous or variable without a reference that makes the comparison meaningful. Check whether a rounded table still adds to the expected total. Label simulated data as simulated. Finally, separate description from explanation: a pattern in the observed values tells you what the dataset contains, while a causal explanation requires a research design and reasoning beyond descriptive statistics.</w:t>
      </w:r>
    </w:p>
    <w:bookmarkEnd w:id="51"/>
    <w:bookmarkStart w:id="52" w:name="how-this-topic-connects"/>
    <w:p>
      <w:pPr>
        <w:pStyle w:val="Heading2"/>
      </w:pPr>
      <w:r>
        <w:t xml:space="preserve">How this topic connects</w:t>
      </w:r>
    </w:p>
    <w:p>
      <w:pPr>
        <w:pStyle w:val="FirstParagraph"/>
      </w:pPr>
      <w:r>
        <w:t xml:space="preserve">Descriptive statistics supplies the language used throughout this learning sequence. Probability adds rules for reasoning about uncertain outcomes. Statistical inference then uses a sample and its variability to make careful statements about a population. Covariance and correlation ask how two variables vary together. Regression expresses an outcome as a function of one or more predictors, while partial correlation studies an association after linear adjustment. Analysis of variance compares group means by dividing total variability into meaningful components.</w:t>
      </w:r>
    </w:p>
    <w:p>
      <w:pPr>
        <w:pStyle w:val="BodyText"/>
      </w:pPr>
      <w:r>
        <w:t xml:space="preserve">The central habit carries forward unchanged: understand the variables, inspect the distribution, calculate an appropriate summary, and interpret it in context. Later methods add uncertainty and models, but they never remove the need for a trustworthy description of the data that entered the analysis.</w:t>
      </w:r>
    </w:p>
    <w:p>
      <w:pPr>
        <w:pBdr>
          <w:bottom w:val="single" w:sz="4" w:space="6" w:color="B8C6CF"/>
        </w:pBdr>
        <w:spacing w:before="60" w:after="100"/>
      </w:pPr>
    </w:p>
    <w:p>
      <w:pPr>
        <w:pStyle w:val="FirstParagraph"/>
      </w:pPr>
      <w:r>
        <w:rPr>
          <w:i/>
          <w:iCs/>
        </w:rPr>
        <w:t xml:space="preserve">Document ID:</w:t>
      </w:r>
      <w:r>
        <w:rPr>
          <w:i/>
          <w:iCs/>
        </w:rPr>
        <w:t xml:space="preserve"> </w:t>
      </w:r>
      <w:r>
        <w:rPr>
          <w:rStyle w:val="VerbatimChar"/>
          <w:i/>
          <w:iCs/>
        </w:rPr>
        <w:t xml:space="preserve">topic-01-descriptive-statistics-summary-en</w:t>
      </w:r>
    </w:p>
    <w:p>
      <w:r>
        <w:br w:type="page"/>
      </w:r>
    </w:p>
    <w:p>
      <w:pPr>
        <w:pStyle w:val="Heading1"/>
      </w:pPr>
      <w:r>
        <w:t>Notes 1 of 3</w:t>
      </w:r>
    </w:p>
    <w:p>
      <w:r>
        <w:rPr>
          <w:color w:val="526A79"/>
          <w:sz w:val="18"/>
          <w:szCs w:val="18"/>
        </w:rPr>
        <w:t>Descriptive Statistics | Topic 1</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r>
        <w:br w:type="page"/>
      </w:r>
    </w:p>
    <w:p>
      <w:pPr>
        <w:pStyle w:val="Heading1"/>
      </w:pPr>
      <w:r>
        <w:t>Notes 2 of 3</w:t>
      </w:r>
    </w:p>
    <w:p>
      <w:r>
        <w:rPr>
          <w:color w:val="526A79"/>
          <w:sz w:val="18"/>
          <w:szCs w:val="18"/>
        </w:rPr>
        <w:t>Descriptive Statistics | Topic 1</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r>
        <w:br w:type="page"/>
      </w:r>
    </w:p>
    <w:p>
      <w:pPr>
        <w:pStyle w:val="Heading1"/>
      </w:pPr>
      <w:r>
        <w:t>Notes 3 of 3</w:t>
      </w:r>
    </w:p>
    <w:p>
      <w:r>
        <w:rPr>
          <w:color w:val="526A79"/>
          <w:sz w:val="18"/>
          <w:szCs w:val="18"/>
        </w:rPr>
        <w:t>Descriptive Statistics | Topic 1</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bookmarkEnd w:id="52"/>
    <w:bookmarkEnd w:id="53"/>
    <w:sectPr>
      <w:footnotePr>
        <w:numRestart w:val="eachSect"/>
      </w:footnotePr>
      <w:pgSz w:h="16838" w:w="11906"/>
      <w:pgMar w:bottom="1077" w:footer="720" w:gutter="0" w:header="720" w:left="1191" w:right="1191" w:top="107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w:lvlJc w:val="left"/>
      <w:pPr>
        <w:ind w:left="720" w:hanging="360"/>
      </w:pPr>
      <w:rPr>
        <w:rFonts w:ascii="Arial" w:hAnsi="Arial" w:cs="Arial"/>
      </w:rPr>
    </w:lvl>
    <w:lvl w:ilvl="1">
      <w:numFmt w:val="bullet"/>
      <w:lvlText w:val="•"/>
      <w:lvlJc w:val="left"/>
      <w:pPr>
        <w:ind w:left="1440" w:hanging="360"/>
      </w:pPr>
      <w:rPr>
        <w:rFonts w:ascii="Arial" w:hAnsi="Arial" w:cs="Arial"/>
      </w:rPr>
    </w:lvl>
    <w:lvl w:ilvl="2">
      <w:numFmt w:val="bullet"/>
      <w:lvlText w:val="•"/>
      <w:lvlJc w:val="left"/>
      <w:pPr>
        <w:ind w:left="2160" w:hanging="360"/>
      </w:pPr>
      <w:rPr>
        <w:rFonts w:ascii="Arial" w:hAnsi="Arial" w:cs="Arial"/>
      </w:rPr>
    </w:lvl>
    <w:lvl w:ilvl="3">
      <w:numFmt w:val="bullet"/>
      <w:lvlText w:val="•"/>
      <w:lvlJc w:val="left"/>
      <w:pPr>
        <w:ind w:left="2880" w:hanging="360"/>
      </w:pPr>
      <w:rPr>
        <w:rFonts w:ascii="Arial" w:hAnsi="Arial" w:cs="Arial"/>
      </w:rPr>
    </w:lvl>
    <w:lvl w:ilvl="4">
      <w:numFmt w:val="bullet"/>
      <w:lvlText w:val="•"/>
      <w:lvlJc w:val="left"/>
      <w:pPr>
        <w:ind w:left="3600" w:hanging="360"/>
      </w:pPr>
      <w:rPr>
        <w:rFonts w:ascii="Arial" w:hAnsi="Arial" w:cs="Arial"/>
      </w:rPr>
    </w:lvl>
    <w:lvl w:ilvl="5">
      <w:numFmt w:val="bullet"/>
      <w:lvlText w:val="•"/>
      <w:lvlJc w:val="left"/>
      <w:pPr>
        <w:ind w:left="4320" w:hanging="360"/>
      </w:pPr>
      <w:rPr>
        <w:rFonts w:ascii="Arial" w:hAnsi="Arial" w:cs="Arial"/>
      </w:rPr>
    </w:lvl>
    <w:lvl w:ilvl="6">
      <w:numFmt w:val="bullet"/>
      <w:lvlText w:val="•"/>
      <w:lvlJc w:val="left"/>
      <w:pPr>
        <w:ind w:left="5040" w:hanging="360"/>
      </w:pPr>
      <w:rPr>
        <w:rFonts w:ascii="Arial" w:hAnsi="Arial" w:cs="Arial"/>
      </w:rPr>
    </w:lvl>
    <w:lvl w:ilvl="7">
      <w:numFmt w:val="bullet"/>
      <w:lvlText w:val="•"/>
      <w:lvlJc w:val="left"/>
      <w:pPr>
        <w:ind w:left="5760" w:hanging="360"/>
      </w:pPr>
      <w:rPr>
        <w:rFonts w:ascii="Arial" w:hAnsi="Arial" w:cs="Arial"/>
      </w:rPr>
    </w:lvl>
    <w:lvl w:ilvl="8">
      <w:numFmt w:val="bullet"/>
      <w:lvlText w:val="•"/>
      <w:lvlJc w:val="left"/>
      <w:pPr>
        <w:ind w:left="6480" w:hanging="360"/>
      </w:pPr>
      <w:rPr>
        <w:rFonts w:ascii="Arial" w:hAnsi="Arial" w:cs="Arial"/>
      </w:rPr>
    </w:lvl>
  </w:abstractNum>
  <w:num w:numId="1000">
    <w:abstractNumId w:val="990"/>
  </w:num>
</w:numbering>
</file>

<file path=word/settings.xml><?xml version="1.0" encoding="utf-8"?>
<w:settings xmlns:w="http://schemas.openxmlformats.org/wordprocessingml/2006/main">
  <w:zoom w:percent="100"/>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eastAsia="en-US" w:bidi="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rPr>
      <w:rFonts w:ascii="Arial" w:cs="Arial" w:hAnsi="Arial"/>
      <w:sz w:val="22"/>
      <w:szCs w:val="22"/>
    </w:rPr>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widowControl/>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widowControl/>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widowControl/>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rFonts w:ascii="Arial" w:cs="Arial" w:hAnsi="Arial"/>
      <w:i/>
      <w:color w:val="526A79"/>
      <w:sz w:val="18"/>
      <w:szCs w:val="18"/>
    </w:rPr>
  </w:style>
  <w:style w:customStyle="1" w:styleId="TableCaption" w:type="paragraph">
    <w:name w:val="Table Caption"/>
    <w:basedOn w:val="Caption"/>
    <w:pPr>
      <w:keepNext/>
    </w:pPr>
    <w:rPr>
      <w:rFonts w:ascii="Arial" w:cs="Arial" w:hAnsi="Arial"/>
      <w:color w:val="526A79"/>
      <w:sz w:val="18"/>
      <w:szCs w:val="18"/>
    </w:rPr>
  </w:style>
  <w:style w:customStyle="1" w:styleId="ImageCaption" w:type="paragraph">
    <w:name w:val="Image Caption"/>
    <w:basedOn w:val="Caption"/>
    <w:rPr>
      <w:rFonts w:ascii="Arial" w:cs="Arial" w:hAnsi="Arial"/>
      <w:color w:val="526A79"/>
      <w:sz w:val="18"/>
      <w:szCs w:val="18"/>
    </w:rPr>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RatiomeraTable" w:type="table">
    <w:name w:val="Ratiomera data table"/>
    <w:basedOn w:val="Table"/>
    <w:uiPriority w:val="35"/>
    <w:qFormat/>
    <w:pPr>
      <w:widowControl/>
      <w:spacing w:after="40" w:before="0" w:line="240" w:lineRule="auto"/>
    </w:pPr>
    <w:rPr>
      <w:rFonts w:ascii="Arial" w:cs="Arial" w:hAnsi="Arial"/>
      <w:sz w:val="20"/>
      <w:szCs w:val="20"/>
    </w:rPr>
    <w:tblPr>
      <w:tblInd w:type="dxa" w:w="0"/>
    </w:tblPr>
    <w:tblStylePr w:type="firstRow">
      <w:rPr>
        <w:rFonts w:ascii="Arial" w:cs="Arial" w:hAnsi="Arial"/>
        <w:b/>
        <w:color w:val="183B56"/>
        <w:sz w:val="20"/>
        <w:szCs w:val="20"/>
      </w:rPr>
      <w:tcPr>
        <w:shd w:fill="EAF2F6"/>
        <w:vAlign w:val="center"/>
      </w:tcPr>
    </w:tblStylePr>
    <w:tblStylePr w:type="band1Horz">
      <w:tcPr>
        <w:shd w:fill="F3F7F9"/>
      </w:tcPr>
    </w:tblStylePr>
  </w:style>
  <w:style w:type="paragraph" w:customStyle="1" w:styleId="SourceCode">
    <w:name w:val="Source Code"/>
    <w:basedOn w:val="Normal"/>
    <w:link w:val="VerbatimChar"/>
    <w:pPr>
      <w:shd w:val="clear" w:fill="f1f3f5"/>
      <w:wordWrap w:val="off"/>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0" Target="media/rId20.png" /><Relationship Type="http://schemas.openxmlformats.org/officeDocument/2006/relationships/image" Id="rId46" Target="media/rId46.pn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ns0:Properties xmlns:ns0="http://schemas.openxmlformats.org/officeDocument/2006/extended-properties">
  <ns0:SharedDoc>false</ns0:SharedDoc>
  <ns0:HyperlinksChanged>false</ns0:HyperlinksChanged>
  <ns0:AppVersion>12.0000</ns0:AppVersion>
  <ns0:LinksUpToDate>false</ns0:LinksUpToDate>
  <ns0:Application>Ratiomera document pipeline</ns0:Application>
  <ns0:Template>Normal.dotm</ns0:Template>
  <ns0:DocSecurity>0</ns0:DocSecurity>
  <ns0:ScaleCrop>false</ns0:ScaleCrop>
</ns0:Properties>
</file>

<file path=docProps/core.xml><?xml version="1.0" encoding="utf-8"?>
<cp:coreProperties xmlns:cp="http://schemas.openxmlformats.org/package/2006/metadata/core-properties" xmlns:dc="http://purl.org/dc/elements/1.1/" xmlns:dcterms="http://purl.org/dc/terms/" xmlns:xsi="http://www.w3.org/2001/XMLSchema-instance">
  <dc:title>Descriptive Statistics</dc:title>
  <dc:creator>Ratiomera Statistics</dc:creator>
  <dc:language>en-US</dc:language>
  <cp:keywords/>
  <dcterms:created xsi:type="dcterms:W3CDTF">1970-01-01T00:00:00Z</dcterms:created>
  <dcterms:modified xsi:type="dcterms:W3CDTF">1970-01-01T00:00:00Z</dcterms:modified>
  <dc:subject>Ratiomera Statistics topic summary</dc:subject>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y-author">
    <vt:lpwstr/>
  </property>
  <property fmtid="{D5CDD505-2E9C-101B-9397-08002B2CF9AE}" pid="5" name="crossref">
    <vt:lpwstr/>
  </property>
  <property fmtid="{D5CDD505-2E9C-101B-9397-08002B2CF9AE}" pid="6" name="execute">
    <vt:lpwstr/>
  </property>
  <property fmtid="{D5CDD505-2E9C-101B-9397-08002B2CF9AE}" pid="7" name="header-includes">
    <vt:lpwstr/>
  </property>
  <property fmtid="{D5CDD505-2E9C-101B-9397-08002B2CF9AE}" pid="8" name="include-after">
    <vt:lpwstr/>
  </property>
  <property fmtid="{D5CDD505-2E9C-101B-9397-08002B2CF9AE}" pid="9" name="include-before">
    <vt:lpwstr/>
  </property>
  <property fmtid="{D5CDD505-2E9C-101B-9397-08002B2CF9AE}" pid="10" name="labels">
    <vt:lpwstr/>
  </property>
  <property fmtid="{D5CDD505-2E9C-101B-9397-08002B2CF9AE}" pid="11" name="mainfont">
    <vt:lpwstr>Arial</vt:lpwstr>
  </property>
  <property fmtid="{D5CDD505-2E9C-101B-9397-08002B2CF9AE}" pid="12" name="subtitle">
    <vt:lpwstr>A warm guide to variables, distributions, and numerical summaries</vt:lpwstr>
  </property>
  <property fmtid="{D5CDD505-2E9C-101B-9397-08002B2CF9AE}" pid="13" name="toc-title">
    <vt:lpwstr>Table of contents</vt:lpwstr>
  </property>
</Properties>
</file>