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Hypothesis Testing and Confidence Intervals</w:t>
      </w:r>
    </w:p>
    <w:p>
      <w:pPr>
        <w:pStyle w:val="Subtitle"/>
      </w:pPr>
      <w:r>
        <w:t xml:space="preserve">From sample evidence to careful population conclusions</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3</w:t>
      </w:r>
    </w:p>
    <w:bookmarkStart w:id="28" w:name="course-page-summary"/>
    <w:p>
      <w:pPr>
        <w:pStyle w:val="Heading1"/>
      </w:pPr>
      <w:r>
        <w:t xml:space="preserve">Course-Page Summary</w:t>
      </w:r>
    </w:p>
    <w:p>
      <w:pPr>
        <w:pStyle w:val="FirstParagraph"/>
      </w:pPr>
      <w:r>
        <w:t xml:space="preserve">Inference uses a sample to learn about a population while keeping uncertainty visible. Begin with the research question and design, name the population quantity, and only then choose a confidence interval or hypothesis test that matches the data structure.</w:t>
      </w:r>
    </w:p>
    <w:bookmarkStart w:id="24" w:name="the-core-reasoning"/>
    <w:p>
      <w:pPr>
        <w:pStyle w:val="Heading2"/>
      </w:pPr>
      <w:r>
        <w:t xml:space="preserve">The Core Reasoning</w:t>
      </w:r>
    </w:p>
    <w:bookmarkStart w:id="23" w:name="tbl-summary-inference-reasoning"/>
    <w:p>
      <w:pPr>
        <w:pStyle w:val="TableCaption"/>
        <w:keepNext/>
        <w:keepLines/>
        <w:widowControl/>
        <w:spacing w:before="120" w:after="80"/>
        <w:jc w:val="left"/>
      </w:pPr>
      <w:r>
        <w:t xml:space="preserve">Table 1: Reliable inference connects the research question, design, calculation, and interpretation.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95"/>
        <w:gridCol w:w="3524"/>
        <w:gridCol w:w="3905"/>
      </w:tblGrid>
      <w:tr>
        <w:trPr>
          <w:cantSplit/>
          <w:tblHeader w:val="on"/>
        </w:trPr>
        <w:tc>
          <w:tcPr>
            <w:tcW w:w="2095" w:type="dxa"/>
            <w:shd w:fill="EAF2F6"/>
            <w:vAlign w:val="center"/>
          </w:tcPr>
          <w:p>
            <w:pPr>
              <w:pStyle w:val="Compact"/>
              <w:keepLines/>
              <w:widowControl/>
              <w:spacing w:before="0" w:after="40" w:line="240" w:lineRule="auto"/>
              <w:jc w:val="left"/>
            </w:pPr>
            <w:r>
              <w:rPr>
                <w:b/>
                <w:color w:val="183B56"/>
                <w:sz w:val="20"/>
                <w:szCs w:val="20"/>
              </w:rPr>
              <w:t xml:space="preserve">Step</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Question to ask</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Main idea</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1. Define</w:t>
            </w:r>
          </w:p>
        </w:tc>
        <w:tc>
          <w:tcPr>
            <w:tcW w:w="3524" w:type="dxa"/>
            <w:shd w:fill="F3F7F9"/>
            <w:vAlign w:val="top"/>
          </w:tcPr>
          <w:p>
            <w:pPr>
              <w:pStyle w:val="Compact"/>
              <w:keepLines/>
              <w:widowControl/>
              <w:spacing w:before="0" w:after="40" w:line="240" w:lineRule="auto"/>
              <w:jc w:val="center"/>
            </w:pPr>
            <w:r>
              <w:rPr>
                <w:sz w:val="20"/>
                <w:szCs w:val="20"/>
              </w:rPr>
              <w:t xml:space="preserve">What population quantity is being studied?</w:t>
            </w:r>
          </w:p>
        </w:tc>
        <w:tc>
          <w:tcPr>
            <w:tcW w:w="3905" w:type="dxa"/>
            <w:shd w:fill="F3F7F9"/>
            <w:vAlign w:val="top"/>
          </w:tcPr>
          <w:p>
            <w:pPr>
              <w:pStyle w:val="Compact"/>
              <w:keepLines/>
              <w:widowControl/>
              <w:spacing w:before="0" w:after="40" w:line="240" w:lineRule="auto"/>
              <w:jc w:val="center"/>
            </w:pPr>
            <w:r>
              <w:rPr>
                <w:sz w:val="20"/>
                <w:szCs w:val="20"/>
              </w:rPr>
              <w:t xml:space="preserve">Write the parameter and the null and alternative hypotheses before calculating</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2. Match</w:t>
            </w:r>
          </w:p>
        </w:tc>
        <w:tc>
          <w:tcPr>
            <w:tcW w:w="3524" w:type="dxa"/>
            <w:shd w:fill="FFFFFF"/>
            <w:vAlign w:val="top"/>
          </w:tcPr>
          <w:p>
            <w:pPr>
              <w:pStyle w:val="Compact"/>
              <w:keepLines/>
              <w:widowControl/>
              <w:spacing w:before="0" w:after="40" w:line="240" w:lineRule="auto"/>
              <w:jc w:val="center"/>
            </w:pPr>
            <w:r>
              <w:rPr>
                <w:sz w:val="20"/>
                <w:szCs w:val="20"/>
              </w:rPr>
              <w:t xml:space="preserve">Are the observations independent, paired, or categorical counts?</w:t>
            </w:r>
          </w:p>
        </w:tc>
        <w:tc>
          <w:tcPr>
            <w:tcW w:w="3905" w:type="dxa"/>
            <w:shd w:fill="FFFFFF"/>
            <w:vAlign w:val="top"/>
          </w:tcPr>
          <w:p>
            <w:pPr>
              <w:pStyle w:val="Compact"/>
              <w:keepLines/>
              <w:widowControl/>
              <w:spacing w:before="0" w:after="40" w:line="240" w:lineRule="auto"/>
              <w:jc w:val="center"/>
            </w:pPr>
            <w:r>
              <w:rPr>
                <w:sz w:val="20"/>
                <w:szCs w:val="20"/>
              </w:rPr>
              <w:t xml:space="preserve">The design determines the standard error and reference distribution</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3. Calculate</w:t>
            </w:r>
          </w:p>
        </w:tc>
        <w:tc>
          <w:tcPr>
            <w:tcW w:w="3524" w:type="dxa"/>
            <w:shd w:fill="F3F7F9"/>
            <w:vAlign w:val="top"/>
          </w:tcPr>
          <w:p>
            <w:pPr>
              <w:pStyle w:val="Compact"/>
              <w:keepLines/>
              <w:widowControl/>
              <w:spacing w:before="0" w:after="40" w:line="240" w:lineRule="auto"/>
              <w:jc w:val="center"/>
            </w:pPr>
            <w:r>
              <w:rPr>
                <w:sz w:val="20"/>
                <w:szCs w:val="20"/>
              </w:rPr>
              <w:t xml:space="preserve">How far is the estimate from the null value in standard-error units?</w:t>
            </w:r>
          </w:p>
        </w:tc>
        <w:tc>
          <w:tcPr>
            <w:tcW w:w="3905" w:type="dxa"/>
            <w:shd w:fill="F3F7F9"/>
            <w:vAlign w:val="top"/>
          </w:tcPr>
          <w:p>
            <w:pPr>
              <w:pStyle w:val="Compact"/>
              <w:keepLines/>
              <w:widowControl/>
              <w:spacing w:before="0" w:after="40" w:line="240" w:lineRule="auto"/>
              <w:jc w:val="center"/>
            </w:pPr>
            <w:r>
              <w:rPr>
                <w:sz w:val="20"/>
                <w:szCs w:val="20"/>
              </w:rPr>
              <w:t xml:space="preserve">A test statistic standardizes the observed discrepancy</w:t>
            </w:r>
          </w:p>
        </w:tc>
      </w:tr>
      <w:tr>
        <w:trPr>
          <w:cantSplit/>
        </w:trPr>
        <w:tc>
          <w:tcPr>
            <w:tcW w:w="2095" w:type="dxa"/>
            <w:shd w:fill="FFFFFF"/>
            <w:vAlign w:val="top"/>
          </w:tcPr>
          <w:p>
            <w:pPr>
              <w:pStyle w:val="Compact"/>
              <w:keepLines/>
              <w:widowControl/>
              <w:spacing w:before="0" w:after="40" w:line="240" w:lineRule="auto"/>
              <w:jc w:val="center"/>
            </w:pPr>
            <w:r>
              <w:rPr>
                <w:sz w:val="20"/>
                <w:szCs w:val="20"/>
              </w:rPr>
              <w:t xml:space="preserve">4. Evaluate</w:t>
            </w:r>
          </w:p>
        </w:tc>
        <w:tc>
          <w:tcPr>
            <w:tcW w:w="3524" w:type="dxa"/>
            <w:shd w:fill="FFFFFF"/>
            <w:vAlign w:val="top"/>
          </w:tcPr>
          <w:p>
            <w:pPr>
              <w:pStyle w:val="Compact"/>
              <w:keepLines/>
              <w:widowControl/>
              <w:spacing w:before="0" w:after="40" w:line="240" w:lineRule="auto"/>
              <w:jc w:val="center"/>
            </w:pPr>
            <w:r>
              <w:rPr>
                <w:sz w:val="20"/>
                <w:szCs w:val="20"/>
              </w:rPr>
              <w:t xml:space="preserve">How unusual would this statistic be if the null model were true?</w:t>
            </w:r>
          </w:p>
        </w:tc>
        <w:tc>
          <w:tcPr>
            <w:tcW w:w="3905" w:type="dxa"/>
            <w:shd w:fill="FFFFFF"/>
            <w:vAlign w:val="top"/>
          </w:tcPr>
          <w:p>
            <w:pPr>
              <w:pStyle w:val="Compact"/>
              <w:keepLines/>
              <w:widowControl/>
              <w:spacing w:before="0" w:after="40" w:line="240" w:lineRule="auto"/>
              <w:jc w:val="center"/>
            </w:pPr>
            <w:r>
              <w:rPr>
                <w:sz w:val="20"/>
                <w:szCs w:val="20"/>
              </w:rPr>
              <w:t xml:space="preserve">The p-value is a conditional probability under the null model</w:t>
            </w:r>
          </w:p>
        </w:tc>
      </w:tr>
      <w:tr>
        <w:trPr>
          <w:cantSplit/>
        </w:trPr>
        <w:tc>
          <w:tcPr>
            <w:tcW w:w="2095" w:type="dxa"/>
            <w:shd w:fill="F3F7F9"/>
            <w:vAlign w:val="top"/>
          </w:tcPr>
          <w:p>
            <w:pPr>
              <w:pStyle w:val="Compact"/>
              <w:keepLines/>
              <w:widowControl/>
              <w:spacing w:before="0" w:after="40" w:line="240" w:lineRule="auto"/>
              <w:jc w:val="center"/>
            </w:pPr>
            <w:r>
              <w:rPr>
                <w:sz w:val="20"/>
                <w:szCs w:val="20"/>
              </w:rPr>
              <w:t xml:space="preserve">5. Conclude</w:t>
            </w:r>
          </w:p>
        </w:tc>
        <w:tc>
          <w:tcPr>
            <w:tcW w:w="3524" w:type="dxa"/>
            <w:shd w:fill="F3F7F9"/>
            <w:vAlign w:val="top"/>
          </w:tcPr>
          <w:p>
            <w:pPr>
              <w:pStyle w:val="Compact"/>
              <w:keepLines/>
              <w:widowControl/>
              <w:spacing w:before="0" w:after="40" w:line="240" w:lineRule="auto"/>
              <w:jc w:val="center"/>
            </w:pPr>
            <w:r>
              <w:rPr>
                <w:sz w:val="20"/>
                <w:szCs w:val="20"/>
              </w:rPr>
              <w:t xml:space="preserve">What does the evidence support at the chosen level?</w:t>
            </w:r>
          </w:p>
        </w:tc>
        <w:tc>
          <w:tcPr>
            <w:tcW w:w="3905" w:type="dxa"/>
            <w:shd w:fill="F3F7F9"/>
            <w:vAlign w:val="top"/>
          </w:tcPr>
          <w:p>
            <w:pPr>
              <w:pStyle w:val="Compact"/>
              <w:keepLines/>
              <w:widowControl/>
              <w:spacing w:before="0" w:after="40" w:line="240" w:lineRule="auto"/>
              <w:jc w:val="center"/>
            </w:pPr>
            <w:r>
              <w:rPr>
                <w:sz w:val="20"/>
                <w:szCs w:val="20"/>
              </w:rPr>
              <w:t xml:space="preserve">State the population claim, uncertainty, direction, and study limits</w:t>
            </w:r>
          </w:p>
        </w:tc>
      </w:tr>
    </w:tbl>
    <w:bookmarkEnd w:id="23"/>
    <w:p/>
    <w:p>
      <w:pPr>
        <w:pStyle w:val="BodyText"/>
      </w:pPr>
      <w:r>
        <w:t xml:space="preserve">For a sample mean with an estimated population standard deviation, the one-sample statistic is</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with</w:t>
      </w:r>
      <w:r>
        <w:t xml:space="preserve"> </w:t>
      </w:r>
      <ns5:oMath>
        <ns5:r>
          <ns5:t>n</ns5:t>
        </ns5:r>
        <ns5:r>
          <ns5:rPr>
            <ns5:sty ns5:val="p"/>
          </ns5:rPr>
          <ns5:t>−</ns5:t>
        </ns5:r>
        <ns5:r>
          <ns5:t>1</ns5:t>
        </ns5:r>
      </ns5:oMath>
      <w:r>
        <w:t xml:space="preserve"> </w:t>
      </w:r>
      <w:r>
        <w:t xml:space="preserve">degrees of freedom. A confidence interval uses the same estimate and standard error:</w:t>
      </w:r>
    </w:p>
    <w:p>
      <w:pPr>
        <w:pStyle w:val="BodyText"/>
      </w:pPr>
      <ns5:oMathPara>
        <ns5:oMathParaPr>
          <ns5:jc ns5:val="center"/>
        </ns5:oMathParaPr>
        <ns5:oMath>
          <ns5:acc>
            <ns5:accPr>
              <ns5:chr ns5:val="‾"/>
            </ns5:accPr>
            <ns5:e>
              <ns5:r>
                <ns5:t>x</ns5:t>
              </ns5:r>
            </ns5:e>
          </ns5:acc>
          <ns5:r>
            <ns5:rPr>
              <ns5:sty ns5:val="p"/>
            </ns5:rPr>
            <ns5:t>±</ns5:t>
          </ns5:r>
          <ns5:sSup>
            <ns5:e>
              <ns5:r>
                <ns5:t>t</ns5:t>
              </ns5:r>
            </ns5:e>
            <ns5:sup>
              <ns5:r>
                <ns5:rPr>
                  <ns5:sty ns5:val="p"/>
                </ns5:rPr>
                <ns5:t>*</ns5:t>
              </ns5:r>
            </ns5:sup>
          </ns5:sSup>
          <ns5:f>
            <ns5:fPr>
              <ns5:type ns5:val="bar"/>
            </ns5:fPr>
            <ns5:num>
              <ns5:r>
                <ns5:t>s</ns5:t>
              </ns5:r>
            </ns5:num>
            <ns5:den>
              <ns5:rad>
                <ns5:radPr>
                  <ns5:degHide ns5:val="on"/>
                </ns5:radPr>
                <ns5:deg/>
                <ns5:e>
                  <ns5:r>
                    <ns5:t>n</ns5:t>
                  </ns5:r>
                </ns5:e>
              </ns5:rad>
            </ns5:den>
          </ns5:f>
          <ns5:r>
            <ns5:rPr>
              <ns5:sty ns5:val="p"/>
            </ns5:rPr>
            <ns5:t>.</ns5:t>
          </ns5:r>
        </ns5:oMath>
      </ns5:oMathPara>
    </w:p>
    <w:p>
      <w:pPr>
        <w:pStyle w:val="FirstParagraph"/>
      </w:pPr>
      <w:r>
        <w:t xml:space="preserve">The interval gives a range of population means compatible with the data and model at the chosen confidence level. Its repeated-sampling meaning is about the method: across many comparable samples, the stated proportion of intervals would contain the fixed population parameter.</w:t>
      </w:r>
    </w:p>
    <w:bookmarkEnd w:id="24"/>
    <w:bookmarkStart w:id="26" w:name="choose-the-procedure-from-the-design"/>
    <w:p>
      <w:pPr>
        <w:pStyle w:val="Heading2"/>
      </w:pPr>
      <w:r>
        <w:t xml:space="preserve">Choose the Procedure From the Design</w:t>
      </w:r>
    </w:p>
    <w:bookmarkStart w:id="25" w:name="tbl-summary-procedure-design"/>
    <w:p>
      <w:pPr>
        <w:pStyle w:val="TableCaption"/>
        <w:keepNext/>
        <w:keepLines/>
        <w:widowControl/>
        <w:spacing w:before="120" w:after="80"/>
        <w:jc w:val="left"/>
      </w:pPr>
      <w:r>
        <w:t xml:space="preserve">Table 2: The same-looking numbers can require different procedures when their dependence structure differs.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619"/>
        <w:gridCol w:w="2953"/>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Data structure</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Question</w:t>
            </w:r>
          </w:p>
        </w:tc>
        <w:tc>
          <w:tcPr>
            <w:tcW w:w="2953" w:type="dxa"/>
            <w:shd w:fill="EAF2F6"/>
            <w:vAlign w:val="center"/>
          </w:tcPr>
          <w:p>
            <w:pPr>
              <w:pStyle w:val="Compact"/>
              <w:keepLines/>
              <w:widowControl/>
              <w:spacing w:before="0" w:after="40" w:line="240" w:lineRule="auto"/>
              <w:jc w:val="left"/>
            </w:pPr>
            <w:r>
              <w:rPr>
                <w:b/>
                <w:color w:val="183B56"/>
                <w:sz w:val="20"/>
                <w:szCs w:val="20"/>
              </w:rPr>
              <w:t xml:space="preserve">Procedure used here</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One quantitative sample</w:t>
            </w:r>
          </w:p>
        </w:tc>
        <w:tc>
          <w:tcPr>
            <w:tcW w:w="3619" w:type="dxa"/>
            <w:shd w:fill="F3F7F9"/>
            <w:vAlign w:val="top"/>
          </w:tcPr>
          <w:p>
            <w:pPr>
              <w:pStyle w:val="Compact"/>
              <w:keepLines/>
              <w:widowControl/>
              <w:spacing w:before="0" w:after="40" w:line="240" w:lineRule="auto"/>
              <w:jc w:val="center"/>
            </w:pPr>
            <w:r>
              <w:rPr>
                <w:sz w:val="20"/>
                <w:szCs w:val="20"/>
              </w:rPr>
              <w:t xml:space="preserve">Does one population mean differ from a reference value?</w:t>
            </w:r>
          </w:p>
        </w:tc>
        <w:tc>
          <w:tcPr>
            <w:tcW w:w="2953" w:type="dxa"/>
            <w:shd w:fill="F3F7F9"/>
            <w:vAlign w:val="top"/>
          </w:tcPr>
          <w:p>
            <w:pPr>
              <w:pStyle w:val="Compact"/>
              <w:keepLines/>
              <w:widowControl/>
              <w:spacing w:before="0" w:after="40" w:line="240" w:lineRule="auto"/>
              <w:jc w:val="center"/>
            </w:pPr>
            <w:r>
              <w:rPr>
                <w:sz w:val="20"/>
                <w:szCs w:val="20"/>
              </w:rPr>
              <w:t xml:space="preserve">One-sample</w:t>
            </w:r>
            <w:r>
              <w:rPr>
                <w:sz w:val="20"/>
                <w:szCs w:val="20"/>
              </w:rPr>
              <w:t xml:space="preserve"> </w:t>
            </w:r>
            <ns5:oMath>
              <ns5:r>
                <ns5:t>t</ns5:t>
              </ns5:r>
            </ns5:oMath>
            <w:r>
              <w:rPr>
                <w:sz w:val="20"/>
                <w:szCs w:val="20"/>
              </w:rPr>
              <w:t xml:space="preserve"> </w:t>
            </w:r>
            <w:r>
              <w:rPr>
                <w:sz w:val="20"/>
                <w:szCs w:val="20"/>
              </w:rPr>
              <w:t xml:space="preserve">procedure</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Two independent quantitative groups</w:t>
            </w:r>
          </w:p>
        </w:tc>
        <w:tc>
          <w:tcPr>
            <w:tcW w:w="3619" w:type="dxa"/>
            <w:shd w:fill="FFFFFF"/>
            <w:vAlign w:val="top"/>
          </w:tcPr>
          <w:p>
            <w:pPr>
              <w:pStyle w:val="Compact"/>
              <w:keepLines/>
              <w:widowControl/>
              <w:spacing w:before="0" w:after="40" w:line="240" w:lineRule="auto"/>
              <w:jc w:val="center"/>
            </w:pPr>
            <w:r>
              <w:rPr>
                <w:sz w:val="20"/>
                <w:szCs w:val="20"/>
              </w:rPr>
              <w:t xml:space="preserve">Do two population means differ?</w:t>
            </w:r>
          </w:p>
        </w:tc>
        <w:tc>
          <w:tcPr>
            <w:tcW w:w="2953" w:type="dxa"/>
            <w:shd w:fill="FFFFFF"/>
            <w:vAlign w:val="top"/>
          </w:tcPr>
          <w:p>
            <w:pPr>
              <w:pStyle w:val="Compact"/>
              <w:keepLines/>
              <w:widowControl/>
              <w:spacing w:before="0" w:after="40" w:line="240" w:lineRule="auto"/>
              <w:jc w:val="center"/>
            </w:pPr>
            <w:r>
              <w:rPr>
                <w:sz w:val="20"/>
                <w:szCs w:val="20"/>
              </w:rPr>
              <w:t xml:space="preserve">Independent-samples</w:t>
            </w:r>
            <w:r>
              <w:rPr>
                <w:sz w:val="20"/>
                <w:szCs w:val="20"/>
              </w:rPr>
              <w:t xml:space="preserve"> </w:t>
            </w:r>
            <ns5:oMath>
              <ns5:r>
                <ns5:t>t</ns5:t>
              </ns5:r>
            </ns5:oMath>
            <w:r>
              <w:rPr>
                <w:sz w:val="20"/>
                <w:szCs w:val="20"/>
              </w:rPr>
              <w:t xml:space="preserve"> </w:t>
            </w:r>
            <w:r>
              <w:rPr>
                <w:sz w:val="20"/>
                <w:szCs w:val="20"/>
              </w:rPr>
              <w:t xml:space="preserve">procedure</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Two measurements on the same cases</w:t>
            </w:r>
          </w:p>
        </w:tc>
        <w:tc>
          <w:tcPr>
            <w:tcW w:w="3619" w:type="dxa"/>
            <w:shd w:fill="F3F7F9"/>
            <w:vAlign w:val="top"/>
          </w:tcPr>
          <w:p>
            <w:pPr>
              <w:pStyle w:val="Compact"/>
              <w:keepLines/>
              <w:widowControl/>
              <w:spacing w:before="0" w:after="40" w:line="240" w:lineRule="auto"/>
              <w:jc w:val="center"/>
            </w:pPr>
            <w:r>
              <w:rPr>
                <w:sz w:val="20"/>
                <w:szCs w:val="20"/>
              </w:rPr>
              <w:t xml:space="preserve">Does the population mean of the within-case differences differ from zero?</w:t>
            </w:r>
          </w:p>
        </w:tc>
        <w:tc>
          <w:tcPr>
            <w:tcW w:w="2953" w:type="dxa"/>
            <w:shd w:fill="F3F7F9"/>
            <w:vAlign w:val="top"/>
          </w:tcPr>
          <w:p>
            <w:pPr>
              <w:pStyle w:val="Compact"/>
              <w:keepLines/>
              <w:widowControl/>
              <w:spacing w:before="0" w:after="40" w:line="240" w:lineRule="auto"/>
              <w:jc w:val="center"/>
            </w:pPr>
            <w:r>
              <w:rPr>
                <w:sz w:val="20"/>
                <w:szCs w:val="20"/>
              </w:rPr>
              <w:t xml:space="preserve">Paired</w:t>
            </w:r>
            <w:r>
              <w:rPr>
                <w:sz w:val="20"/>
                <w:szCs w:val="20"/>
              </w:rPr>
              <w:t xml:space="preserve"> </w:t>
            </w:r>
            <ns5:oMath>
              <ns5:r>
                <ns5:t>t</ns5:t>
              </ns5:r>
            </ns5:oMath>
            <w:r>
              <w:rPr>
                <w:sz w:val="20"/>
                <w:szCs w:val="20"/>
              </w:rPr>
              <w:t xml:space="preserve"> </w:t>
            </w:r>
            <w:r>
              <w:rPr>
                <w:sz w:val="20"/>
                <w:szCs w:val="20"/>
              </w:rPr>
              <w:t xml:space="preserve">procedure</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Two categorical variables</w:t>
            </w:r>
          </w:p>
        </w:tc>
        <w:tc>
          <w:tcPr>
            <w:tcW w:w="3619" w:type="dxa"/>
            <w:shd w:fill="FFFFFF"/>
            <w:vAlign w:val="top"/>
          </w:tcPr>
          <w:p>
            <w:pPr>
              <w:pStyle w:val="Compact"/>
              <w:keepLines/>
              <w:widowControl/>
              <w:spacing w:before="0" w:after="40" w:line="240" w:lineRule="auto"/>
              <w:jc w:val="center"/>
            </w:pPr>
            <w:r>
              <w:rPr>
                <w:sz w:val="20"/>
                <w:szCs w:val="20"/>
              </w:rPr>
              <w:t xml:space="preserve">Are the variables independent in the population?</w:t>
            </w:r>
          </w:p>
        </w:tc>
        <w:tc>
          <w:tcPr>
            <w:tcW w:w="2953" w:type="dxa"/>
            <w:shd w:fill="FFFFFF"/>
            <w:vAlign w:val="top"/>
          </w:tcPr>
          <w:p>
            <w:pPr>
              <w:pStyle w:val="Compact"/>
              <w:keepLines/>
              <w:widowControl/>
              <w:spacing w:before="0" w:after="40" w:line="240" w:lineRule="auto"/>
              <w:jc w:val="center"/>
            </w:pPr>
            <w:r>
              <w:rPr>
                <w:sz w:val="20"/>
                <w:szCs w:val="20"/>
              </w:rPr>
              <w:t xml:space="preserve">Chi-square test of independence</w:t>
            </w:r>
          </w:p>
        </w:tc>
      </w:tr>
    </w:tbl>
    <w:bookmarkEnd w:id="25"/>
    <w:p/>
    <w:bookmarkEnd w:id="26"/>
    <w:bookmarkStart w:id="27" w:name="interpretation-checklist"/>
    <w:p>
      <w:pPr>
        <w:pStyle w:val="Heading2"/>
      </w:pPr>
      <w:r>
        <w:t xml:space="preserve">Interpretation Checklist</w:t>
      </w:r>
    </w:p>
    <w:p>
      <w:pPr>
        <w:pStyle w:val="Compact"/>
        <w:numPr>
          <w:ilvl w:val="0"/>
          <w:numId w:val="1001"/>
        </w:numPr>
      </w:pPr>
      <w:r>
        <w:t xml:space="preserve">A p-value is the probability of data at least this incompatible with the null model, assuming that model and its conditions. It is not the probability that the null hypothesis is true.</w:t>
      </w:r>
    </w:p>
    <w:p>
      <w:pPr>
        <w:pStyle w:val="Compact"/>
        <w:numPr>
          <w:ilvl w:val="0"/>
          <w:numId w:val="1001"/>
        </w:numPr>
      </w:pPr>
      <w:r>
        <w:t xml:space="preserve">A decision to reject is not proof, and a decision not to reject is not proof of equality.</w:t>
      </w:r>
    </w:p>
    <w:p>
      <w:pPr>
        <w:pStyle w:val="Compact"/>
        <w:numPr>
          <w:ilvl w:val="0"/>
          <w:numId w:val="1001"/>
        </w:numPr>
      </w:pPr>
      <w:r>
        <w:t xml:space="preserve">Statistical significance does not state effect size, practical importance, measurement quality, or causality.</w:t>
      </w:r>
    </w:p>
    <w:p>
      <w:pPr>
        <w:pStyle w:val="Compact"/>
        <w:numPr>
          <w:ilvl w:val="0"/>
          <w:numId w:val="1001"/>
        </w:numPr>
      </w:pPr>
      <w:r>
        <w:t xml:space="preserve">Type I error means rejecting a true null hypothesis. Type II error means failing to reject a false null hypothesis. Power is the probability of rejecting the null when the specified alternative is true.</w:t>
      </w:r>
    </w:p>
    <w:p>
      <w:pPr>
        <w:pStyle w:val="Compact"/>
        <w:numPr>
          <w:ilvl w:val="0"/>
          <w:numId w:val="1001"/>
        </w:numPr>
      </w:pPr>
      <w:r>
        <w:t xml:space="preserve">A larger sample can reduce standard error and increase power, but it does not repair biased sampling, poor measurement, dependence ignored by the model, or a weak design.</w:t>
      </w:r>
    </w:p>
    <w:p>
      <w:pPr>
        <w:pStyle w:val="FirstParagraph"/>
      </w:pPr>
      <w:r>
        <w:t xml:space="preserve">Topic 3 supplies the inferential language used in every later topic. Correlation, regression, partial correlation, multiple regression, and ANOVA change the parameter and model, but they retain the same discipline: define the question, respect the design, quantify uncertainty, and keep the conclusion within scope.</w:t>
      </w:r>
    </w:p>
    <w:bookmarkEnd w:id="27"/>
    <w:bookmarkEnd w:id="28"/>
    <w:bookmarkStart w:id="39" w:name="expanded-reference"/>
    <w:p>
      <w:pPr>
        <w:pStyle w:val="Heading1"/>
        <w:pageBreakBefore/>
      </w:pPr>
      <w:r>
        <w:t xml:space="preserve">Expanded Reference</w:t>
      </w:r>
    </w:p>
    <w:bookmarkStart w:id="29" w:name="purpose-and-foundations"/>
    <w:p>
      <w:pPr>
        <w:pStyle w:val="Heading2"/>
      </w:pPr>
      <w:r>
        <w:t xml:space="preserve">Purpose and foundations</w:t>
      </w:r>
    </w:p>
    <w:p>
      <w:pPr>
        <w:pStyle w:val="FirstParagraph"/>
      </w:pPr>
      <w:r>
        <w:t xml:space="preserve">Statistical inference uses information from a sample to learn about a population while acknowledging sampling uncertainty. A</w:t>
      </w:r>
      <w:r>
        <w:t xml:space="preserve"> </w:t>
      </w:r>
      <w:r>
        <w:rPr>
          <w:b/>
          <w:bCs/>
        </w:rPr>
        <w:t xml:space="preserve">population</w:t>
      </w:r>
      <w:r>
        <w:t xml:space="preserve"> </w:t>
      </w:r>
      <w:r>
        <w:t xml:space="preserve">is the full group of cases addressed by the research question. A</w:t>
      </w:r>
      <w:r>
        <w:t xml:space="preserve"> </w:t>
      </w:r>
      <w:r>
        <w:rPr>
          <w:b/>
          <w:bCs/>
        </w:rPr>
        <w:t xml:space="preserve">sample</w:t>
      </w:r>
      <w:r>
        <w:t xml:space="preserve"> </w:t>
      </w:r>
      <w:r>
        <w:t xml:space="preserve">is the subset that was observed. A</w:t>
      </w:r>
      <w:r>
        <w:t xml:space="preserve"> </w:t>
      </w:r>
      <w:r>
        <w:rPr>
          <w:b/>
          <w:bCs/>
        </w:rPr>
        <w:t xml:space="preserve">parameter</w:t>
      </w:r>
      <w:r>
        <w:t xml:space="preserve"> </w:t>
      </w:r>
      <w:r>
        <w:t xml:space="preserve">is a numerical feature of the population, such as a population mean</w:t>
      </w:r>
      <w:r>
        <w:t xml:space="preserve"> </w:t>
      </w:r>
      <ns5:oMath>
        <ns5:r>
          <ns5:t>μ</ns5:t>
        </ns5:r>
      </ns5:oMath>
      <w:r>
        <w:t xml:space="preserve">. A</w:t>
      </w:r>
      <w:r>
        <w:t xml:space="preserve"> </w:t>
      </w:r>
      <w:r>
        <w:rPr>
          <w:b/>
          <w:bCs/>
        </w:rPr>
        <w:t xml:space="preserve">statistic</w:t>
      </w:r>
      <w:r>
        <w:t xml:space="preserve"> </w:t>
      </w:r>
      <w:r>
        <w:t xml:space="preserve">is the corresponding quantity calculated from the sample, such as the sample mean</w:t>
      </w:r>
      <w:r>
        <w:t xml:space="preserve"> </w:t>
      </w:r>
      <ns5:oMath>
        <ns5:acc>
          <ns5:accPr>
            <ns5:chr ns5:val="‾"/>
          </ns5:accPr>
          <ns5:e>
            <ns5:r>
              <ns5:t>x</ns5:t>
            </ns5:r>
          </ns5:e>
        </ns5:acc>
      </ns5:oMath>
      <w:r>
        <w:t xml:space="preserve">. The statistic is known after the data are collected; the parameter usually remains unknown.</w:t>
      </w:r>
    </w:p>
    <w:p>
      <w:pPr>
        <w:pStyle w:val="BodyText"/>
      </w:pPr>
      <w:r>
        <w:t xml:space="preserve">If a new random sample were drawn from the same population, its statistic would usually differ. The hypothetical distribution of that statistic across repeated samples is its</w:t>
      </w:r>
      <w:r>
        <w:t xml:space="preserve"> </w:t>
      </w:r>
      <w:r>
        <w:rPr>
          <w:b/>
          <w:bCs/>
        </w:rPr>
        <w:t xml:space="preserve">sampling distribution</w:t>
      </w:r>
      <w:r>
        <w:t xml:space="preserve">. Its standard deviation is called the</w:t>
      </w:r>
      <w:r>
        <w:t xml:space="preserve"> </w:t>
      </w:r>
      <w:r>
        <w:rPr>
          <w:b/>
          <w:bCs/>
        </w:rPr>
        <w:t xml:space="preserve">standard error</w:t>
      </w:r>
      <w:r>
        <w:t xml:space="preserve">. Standard error measures sample-to-sample variability of an estimate. It does not measure the spread of individual observations, which is the role of an ordinary standard deviation.</w:t>
      </w:r>
    </w:p>
    <w:p>
      <w:pPr>
        <w:pStyle w:val="BodyText"/>
      </w:pPr>
      <w:r>
        <w:t xml:space="preserve">Inference depends on more than a formula. The sample must connect credibly to the population, the observations must fit the dependence assumptions of the method, and the measurement must represent the intended variable. A small standard error cannot correct selection bias, poor measurement, or an unsuitable design. Begin with the research question and study design, then inspect the descriptive statistics, and only then choose an inferential procedure.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429"/>
        <w:gridCol w:w="3428"/>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Element</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Sample language</w:t>
            </w:r>
          </w:p>
        </w:tc>
        <w:tc>
          <w:tcPr>
            <w:tcW w:w="3428" w:type="dxa"/>
            <w:shd w:fill="EAF2F6"/>
            <w:vAlign w:val="center"/>
          </w:tcPr>
          <w:p>
            <w:pPr>
              <w:pStyle w:val="Compact"/>
              <w:keepLines/>
              <w:widowControl/>
              <w:spacing w:before="0" w:after="40" w:line="240" w:lineRule="auto"/>
              <w:jc w:val="left"/>
            </w:pPr>
            <w:r>
              <w:rPr>
                <w:b/>
                <w:color w:val="183B56"/>
                <w:sz w:val="20"/>
                <w:szCs w:val="20"/>
              </w:rPr>
              <w:t xml:space="preserve">Population language</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Center</w:t>
            </w:r>
          </w:p>
        </w:tc>
        <w:tc>
          <w:tcPr>
            <w:tcW w:w="3429" w:type="dxa"/>
            <w:shd w:fill="F3F7F9"/>
            <w:vAlign w:val="top"/>
          </w:tcPr>
          <w:p>
            <w:pPr>
              <w:pStyle w:val="Compact"/>
              <w:keepLines/>
              <w:widowControl/>
              <w:spacing w:before="0" w:after="40" w:line="240" w:lineRule="auto"/>
              <w:jc w:val="left"/>
            </w:pPr>
            <w:r>
              <w:rPr>
                <w:sz w:val="20"/>
                <w:szCs w:val="20"/>
              </w:rPr>
              <w:t xml:space="preserve">Sample mean</w:t>
            </w:r>
            <w:r>
              <w:rPr>
                <w:sz w:val="20"/>
                <w:szCs w:val="20"/>
              </w:rPr>
              <w:t xml:space="preserve"> </w:t>
            </w:r>
            <ns5:oMath>
              <ns5:acc>
                <ns5:accPr>
                  <ns5:chr ns5:val="‾"/>
                </ns5:accPr>
                <ns5:e>
                  <ns5:r>
                    <ns5:t>x</ns5:t>
                  </ns5:r>
                </ns5:e>
              </ns5:acc>
            </ns5:oMath>
          </w:p>
        </w:tc>
        <w:tc>
          <w:tcPr>
            <w:tcW w:w="3428" w:type="dxa"/>
            <w:shd w:fill="F3F7F9"/>
            <w:vAlign w:val="top"/>
          </w:tcPr>
          <w:p>
            <w:pPr>
              <w:pStyle w:val="Compact"/>
              <w:keepLines/>
              <w:widowControl/>
              <w:spacing w:before="0" w:after="40" w:line="240" w:lineRule="auto"/>
              <w:jc w:val="left"/>
            </w:pPr>
            <w:r>
              <w:rPr>
                <w:sz w:val="20"/>
                <w:szCs w:val="20"/>
              </w:rPr>
              <w:t xml:space="preserve">Population mean</w:t>
            </w:r>
            <w:r>
              <w:rPr>
                <w:sz w:val="20"/>
                <w:szCs w:val="20"/>
              </w:rPr>
              <w:t xml:space="preserve"> </w:t>
            </w:r>
            <ns5:oMath>
              <ns5:r>
                <ns5:t>μ</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Proportion</w:t>
            </w:r>
          </w:p>
        </w:tc>
        <w:tc>
          <w:tcPr>
            <w:tcW w:w="3429" w:type="dxa"/>
            <w:shd w:fill="FFFFFF"/>
            <w:vAlign w:val="top"/>
          </w:tcPr>
          <w:p>
            <w:pPr>
              <w:pStyle w:val="Compact"/>
              <w:keepLines/>
              <w:widowControl/>
              <w:spacing w:before="0" w:after="40" w:line="240" w:lineRule="auto"/>
              <w:jc w:val="left"/>
            </w:pPr>
            <w:r>
              <w:rPr>
                <w:sz w:val="20"/>
                <w:szCs w:val="20"/>
              </w:rPr>
              <w:t xml:space="preserve">Sample proportion</w:t>
            </w:r>
            <w:r>
              <w:rPr>
                <w:sz w:val="20"/>
                <w:szCs w:val="20"/>
              </w:rPr>
              <w:t xml:space="preserve"> </w:t>
            </w:r>
            <ns5:oMath>
              <ns5:acc>
                <ns5:accPr>
                  <ns5:chr ns5:val="̂"/>
                </ns5:accPr>
                <ns5:e>
                  <ns5:r>
                    <ns5:t>p</ns5:t>
                  </ns5:r>
                </ns5:e>
              </ns5:acc>
            </ns5:oMath>
          </w:p>
        </w:tc>
        <w:tc>
          <w:tcPr>
            <w:tcW w:w="3428" w:type="dxa"/>
            <w:shd w:fill="FFFFFF"/>
            <w:vAlign w:val="top"/>
          </w:tcPr>
          <w:p>
            <w:pPr>
              <w:pStyle w:val="Compact"/>
              <w:keepLines/>
              <w:widowControl/>
              <w:spacing w:before="0" w:after="40" w:line="240" w:lineRule="auto"/>
              <w:jc w:val="left"/>
            </w:pPr>
            <w:r>
              <w:rPr>
                <w:sz w:val="20"/>
                <w:szCs w:val="20"/>
              </w:rPr>
              <w:t xml:space="preserve">Population proportion</w:t>
            </w:r>
            <w:r>
              <w:rPr>
                <w:sz w:val="20"/>
                <w:szCs w:val="20"/>
              </w:rPr>
              <w:t xml:space="preserve"> </w:t>
            </w:r>
            <ns5:oMath>
              <ns5:r>
                <ns5:t>p</ns5:t>
              </ns5:r>
            </ns5:oMath>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Variability of scores</w:t>
            </w:r>
          </w:p>
        </w:tc>
        <w:tc>
          <w:tcPr>
            <w:tcW w:w="3429" w:type="dxa"/>
            <w:shd w:fill="F3F7F9"/>
            <w:vAlign w:val="top"/>
          </w:tcPr>
          <w:p>
            <w:pPr>
              <w:pStyle w:val="Compact"/>
              <w:keepLines/>
              <w:widowControl/>
              <w:spacing w:before="0" w:after="40" w:line="240" w:lineRule="auto"/>
              <w:jc w:val="left"/>
            </w:pPr>
            <w:r>
              <w:rPr>
                <w:sz w:val="20"/>
                <w:szCs w:val="20"/>
              </w:rPr>
              <w:t xml:space="preserve">Sample standard deviation</w:t>
            </w:r>
            <w:r>
              <w:rPr>
                <w:sz w:val="20"/>
                <w:szCs w:val="20"/>
              </w:rPr>
              <w:t xml:space="preserve"> </w:t>
            </w:r>
            <ns5:oMath>
              <ns5:r>
                <ns5:t>s</ns5:t>
              </ns5:r>
            </ns5:oMath>
          </w:p>
        </w:tc>
        <w:tc>
          <w:tcPr>
            <w:tcW w:w="3428" w:type="dxa"/>
            <w:shd w:fill="F3F7F9"/>
            <w:vAlign w:val="top"/>
          </w:tcPr>
          <w:p>
            <w:pPr>
              <w:pStyle w:val="Compact"/>
              <w:keepLines/>
              <w:widowControl/>
              <w:spacing w:before="0" w:after="40" w:line="240" w:lineRule="auto"/>
              <w:jc w:val="left"/>
            </w:pPr>
            <w:r>
              <w:rPr>
                <w:sz w:val="20"/>
                <w:szCs w:val="20"/>
              </w:rPr>
              <w:t xml:space="preserve">Population standard deviation</w:t>
            </w:r>
            <w:r>
              <w:rPr>
                <w:sz w:val="20"/>
                <w:szCs w:val="20"/>
              </w:rPr>
              <w:t xml:space="preserve"> </w:t>
            </w:r>
            <ns5:oMath>
              <ns5:r>
                <ns5:t>σ</ns5:t>
              </ns5:r>
            </ns5:oMath>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Uncertainty of an estimate</w:t>
            </w:r>
          </w:p>
        </w:tc>
        <w:tc>
          <w:tcPr>
            <w:tcW w:w="3429" w:type="dxa"/>
            <w:shd w:fill="FFFFFF"/>
            <w:vAlign w:val="top"/>
          </w:tcPr>
          <w:p>
            <w:pPr>
              <w:pStyle w:val="Compact"/>
              <w:keepLines/>
              <w:widowControl/>
              <w:spacing w:before="0" w:after="40" w:line="240" w:lineRule="auto"/>
              <w:jc w:val="left"/>
            </w:pPr>
            <w:r>
              <w:rPr>
                <w:sz w:val="20"/>
                <w:szCs w:val="20"/>
              </w:rPr>
              <w:t xml:space="preserve">Estimated standard error</w:t>
            </w:r>
          </w:p>
        </w:tc>
        <w:tc>
          <w:tcPr>
            <w:tcW w:w="3428" w:type="dxa"/>
            <w:shd w:fill="FFFFFF"/>
            <w:vAlign w:val="top"/>
          </w:tcPr>
          <w:p>
            <w:pPr>
              <w:pStyle w:val="Compact"/>
              <w:keepLines/>
              <w:widowControl/>
              <w:spacing w:before="0" w:after="40" w:line="240" w:lineRule="auto"/>
              <w:jc w:val="left"/>
            </w:pPr>
            <w:r>
              <w:rPr>
                <w:sz w:val="20"/>
                <w:szCs w:val="20"/>
              </w:rPr>
              <w:t xml:space="preserve">Sampling-distribution standard deviation</w:t>
            </w:r>
          </w:p>
        </w:tc>
      </w:tr>
    </w:tbl>
    <w:bookmarkEnd w:id="29"/>
    <w:bookmarkStart w:id="30" w:name="core-ideas"/>
    <w:p>
      <w:pPr>
        <w:pStyle w:val="Heading2"/>
      </w:pPr>
      <w:r>
        <w:t xml:space="preserve">Core ideas</w:t>
      </w:r>
    </w:p>
    <w:p>
      <w:pPr>
        <w:pStyle w:val="FirstParagraph"/>
      </w:pPr>
      <w:r>
        <w:t xml:space="preserve">A confidence interval gives a range of parameter values compatible with the estimate and its sampling uncertainty under the model. The confidence level describes the long-run performance of the procedure. If the same sampling and interval method were repeated many times, a stated proportion of the resulting intervals would contain the fixed population parameter. After one interval has been calculated, the parameter is not moving among values; the interval is the result that varied through sampling.</w:t>
      </w:r>
    </w:p>
    <w:p>
      <w:pPr>
        <w:pStyle w:val="BodyText"/>
      </w:pPr>
      <w:r>
        <w:t xml:space="preserve">A hypothesis test begins with a</w:t>
      </w:r>
      <w:r>
        <w:t xml:space="preserve"> </w:t>
      </w:r>
      <w:r>
        <w:rPr>
          <w:b/>
          <w:bCs/>
        </w:rPr>
        <w:t xml:space="preserve">null hypothesis</w:t>
      </w:r>
      <w:r>
        <w:t xml:space="preserve"> </w:t>
      </w:r>
      <ns5:oMath>
        <ns5:sSub>
          <ns5:e>
            <ns5:r>
              <ns5:t>H</ns5:t>
            </ns5:r>
          </ns5:e>
          <ns5:sub>
            <ns5:r>
              <ns5:t>0</ns5:t>
            </ns5:r>
          </ns5:sub>
        </ns5:sSub>
      </ns5:oMath>
      <w:r>
        <w:t xml:space="preserve">, a precise reference claim about a population parameter. An</w:t>
      </w:r>
      <w:r>
        <w:t xml:space="preserve"> </w:t>
      </w:r>
      <w:r>
        <w:rPr>
          <w:b/>
          <w:bCs/>
        </w:rPr>
        <w:t xml:space="preserve">alternative hypothesis</w:t>
      </w:r>
      <w:r>
        <w:t xml:space="preserve"> </w:t>
      </w:r>
      <ns5:oMath>
        <ns5:sSub>
          <ns5:e>
            <ns5:r>
              <ns5:t>H</ns5:t>
            </ns5:r>
          </ns5:e>
          <ns5:sub>
            <ns5:r>
              <ns5:t>1</ns5:t>
            </ns5:r>
          </ns5:sub>
        </ns5:sSub>
      </ns5:oMath>
      <w:r>
        <w:t xml:space="preserve"> </w:t>
      </w:r>
      <w:r>
        <w:t xml:space="preserve">states the direction or difference of substantive interest. A test statistic measures how far the observed estimate lies from the null value in standard-error units. The</w:t>
      </w:r>
      <w:r>
        <w:t xml:space="preserve"> </w:t>
      </w:r>
      <w:r>
        <w:rPr>
          <w:b/>
          <w:bCs/>
        </w:rPr>
        <w:t xml:space="preserve">p-value</w:t>
      </w:r>
      <w:r>
        <w:t xml:space="preserve"> </w:t>
      </w:r>
      <w:r>
        <w:t xml:space="preserve">is the probability, assuming the null hypothesis and all model conditions, of obtaining a test statistic at least as incompatible with the null as the observed one. It is not the probability that the null hypothesis is true.</w:t>
      </w:r>
    </w:p>
    <w:p>
      <w:pPr>
        <w:pStyle w:val="BodyText"/>
      </w:pPr>
      <w:r>
        <w:t xml:space="preserve">The significance level</w:t>
      </w:r>
      <w:r>
        <w:t xml:space="preserve"> </w:t>
      </w:r>
      <ns5:oMath>
        <ns5:r>
          <ns5:t>α</ns5:t>
        </ns5:r>
      </ns5:oMath>
      <w:r>
        <w:t xml:space="preserve"> </w:t>
      </w:r>
      <w:r>
        <w:t xml:space="preserve">is a decision threshold selected before looking at the result. If the p-value is at most</w:t>
      </w:r>
      <w:r>
        <w:t xml:space="preserve"> </w:t>
      </w:r>
      <ns5:oMath>
        <ns5:r>
          <ns5:t>α</ns5:t>
        </ns5:r>
      </ns5:oMath>
      <w:r>
        <w:t xml:space="preserve">, the result is called statistically significant and</w:t>
      </w:r>
      <w:r>
        <w:t xml:space="preserve"> </w:t>
      </w:r>
      <ns5:oMath>
        <ns5:sSub>
          <ns5:e>
            <ns5:r>
              <ns5:t>H</ns5:t>
            </ns5:r>
          </ns5:e>
          <ns5:sub>
            <ns5:r>
              <ns5:t>0</ns5:t>
            </ns5:r>
          </ns5:sub>
        </ns5:sSub>
      </ns5:oMath>
      <w:r>
        <w:t xml:space="preserve"> </w:t>
      </w:r>
      <w:r>
        <w:t xml:space="preserve">is rejected. If the p-value is greater than</w:t>
      </w:r>
      <w:r>
        <w:t xml:space="preserve"> </w:t>
      </w:r>
      <ns5:oMath>
        <ns5:r>
          <ns5:t>α</ns5:t>
        </ns5:r>
      </ns5:oMath>
      <w:r>
        <w:t xml:space="preserve">, the analysis fails to reject</w:t>
      </w:r>
      <w:r>
        <w:t xml:space="preserve"> </w:t>
      </w:r>
      <ns5:oMath>
        <ns5:sSub>
          <ns5:e>
            <ns5:r>
              <ns5:t>H</ns5:t>
            </ns5:r>
          </ns5:e>
          <ns5:sub>
            <ns5:r>
              <ns5:t>0</ns5:t>
            </ns5:r>
          </ns5:sub>
        </ns5:sSub>
      </ns5:oMath>
      <w:r>
        <w:t xml:space="preserve">. Failing to reject is not proof that there is no effect. The data may be imprecise, the true effect may be small, or the design may have limited power.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667"/>
        <w:gridCol w:w="3809"/>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Reality and decision</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Do not reject</w:t>
            </w:r>
            <w:r>
              <w:rPr>
                <w:b/>
                <w:color w:val="183B56"/>
                <w:sz w:val="20"/>
                <w:szCs w:val="20"/>
              </w:rPr>
              <w:t xml:space="preserve"> </w:t>
            </w:r>
            <ns5:oMath>
              <ns5:sSub>
                <ns5:e>
                  <ns5:r>
                    <ns5:t>H</ns5:t>
                  </ns5:r>
                </ns5:e>
                <ns5:sub>
                  <ns5:r>
                    <ns5:t>0</ns5:t>
                  </ns5:r>
                </ns5:sub>
              </ns5:sSub>
            </ns5:oMath>
          </w:p>
        </w:tc>
        <w:tc>
          <w:tcPr>
            <w:tcW w:w="3809" w:type="dxa"/>
            <w:shd w:fill="EAF2F6"/>
            <w:vAlign w:val="center"/>
          </w:tcPr>
          <w:p>
            <w:pPr>
              <w:pStyle w:val="Compact"/>
              <w:keepLines/>
              <w:widowControl/>
              <w:spacing w:before="0" w:after="40" w:line="240" w:lineRule="auto"/>
              <w:jc w:val="left"/>
            </w:pPr>
            <w:r>
              <w:rPr>
                <w:b/>
                <w:color w:val="183B56"/>
                <w:sz w:val="20"/>
                <w:szCs w:val="20"/>
              </w:rPr>
              <w:t xml:space="preserve">Reject</w:t>
            </w:r>
            <w:r>
              <w:rPr>
                <w:b/>
                <w:color w:val="183B56"/>
                <w:sz w:val="20"/>
                <w:szCs w:val="20"/>
              </w:rPr>
              <w:t xml:space="preserve"> </w:t>
            </w:r>
            <ns5:oMath>
              <ns5:sSub>
                <ns5:e>
                  <ns5:r>
                    <ns5:t>H</ns5:t>
                  </ns5:r>
                </ns5:e>
                <ns5:sub>
                  <ns5:r>
                    <ns5:t>0</ns5:t>
                  </ns5:r>
                </ns5:sub>
              </ns5:sSub>
            </ns5:oMath>
          </w:p>
        </w:tc>
      </w:tr>
      <w:tr>
        <w:trPr>
          <w:cantSplit/>
        </w:trPr>
        <w:tc>
          <w:tcPr>
            <w:tcW w:w="3048" w:type="dxa"/>
            <w:shd w:fill="F3F7F9"/>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is true</w:t>
            </w:r>
          </w:p>
        </w:tc>
        <w:tc>
          <w:tcPr>
            <w:tcW w:w="2667" w:type="dxa"/>
            <w:shd w:fill="F3F7F9"/>
            <w:vAlign w:val="top"/>
          </w:tcPr>
          <w:p>
            <w:pPr>
              <w:pStyle w:val="Compact"/>
              <w:keepLines/>
              <w:widowControl/>
              <w:spacing w:before="0" w:after="40" w:line="240" w:lineRule="auto"/>
              <w:jc w:val="left"/>
            </w:pPr>
            <w:r>
              <w:rPr>
                <w:sz w:val="20"/>
                <w:szCs w:val="20"/>
              </w:rPr>
              <w:t xml:space="preserve">Correct retention decision</w:t>
            </w:r>
          </w:p>
        </w:tc>
        <w:tc>
          <w:tcPr>
            <w:tcW w:w="3809" w:type="dxa"/>
            <w:shd w:fill="F3F7F9"/>
            <w:vAlign w:val="top"/>
          </w:tcPr>
          <w:p>
            <w:pPr>
              <w:pStyle w:val="Compact"/>
              <w:keepLines/>
              <w:widowControl/>
              <w:spacing w:before="0" w:after="40" w:line="240" w:lineRule="auto"/>
              <w:jc w:val="left"/>
            </w:pPr>
            <w:r>
              <w:rPr>
                <w:sz w:val="20"/>
                <w:szCs w:val="20"/>
              </w:rPr>
              <w:t xml:space="preserve">Type I error, with probability controlled by</w:t>
            </w:r>
            <w:r>
              <w:rPr>
                <w:sz w:val="20"/>
                <w:szCs w:val="20"/>
              </w:rPr>
              <w:t xml:space="preserve"> </w:t>
            </w:r>
            <ns5:oMath>
              <ns5:r>
                <ns5:t>α</ns5:t>
              </ns5:r>
            </ns5:oMath>
          </w:p>
        </w:tc>
      </w:tr>
      <w:tr>
        <w:trPr>
          <w:cantSplit/>
        </w:trPr>
        <w:tc>
          <w:tcPr>
            <w:tcW w:w="3048" w:type="dxa"/>
            <w:shd w:fill="FFFFFF"/>
            <w:vAlign w:val="top"/>
          </w:tcPr>
          <w:p>
            <w:pPr>
              <w:pStyle w:val="Compact"/>
              <w:keepLines/>
              <w:widowControl/>
              <w:spacing w:before="0" w:after="40" w:line="240" w:lineRule="auto"/>
              <w:jc w:val="left"/>
            </w:pPr>
            <ns5:oMath>
              <ns5:sSub>
                <ns5:e>
                  <ns5:r>
                    <ns5:t>H</ns5:t>
                  </ns5:r>
                </ns5:e>
                <ns5:sub>
                  <ns5:r>
                    <ns5:t>0</ns5:t>
                  </ns5:r>
                </ns5:sub>
              </ns5:sSub>
            </ns5:oMath>
            <w:r>
              <w:rPr>
                <w:sz w:val="20"/>
                <w:szCs w:val="20"/>
              </w:rPr>
              <w:t xml:space="preserve"> </w:t>
            </w:r>
            <w:r>
              <w:rPr>
                <w:sz w:val="20"/>
                <w:szCs w:val="20"/>
              </w:rPr>
              <w:t xml:space="preserve">is false</w:t>
            </w:r>
          </w:p>
        </w:tc>
        <w:tc>
          <w:tcPr>
            <w:tcW w:w="2667" w:type="dxa"/>
            <w:shd w:fill="FFFFFF"/>
            <w:vAlign w:val="top"/>
          </w:tcPr>
          <w:p>
            <w:pPr>
              <w:pStyle w:val="Compact"/>
              <w:keepLines/>
              <w:widowControl/>
              <w:spacing w:before="0" w:after="40" w:line="240" w:lineRule="auto"/>
              <w:jc w:val="left"/>
            </w:pPr>
            <w:r>
              <w:rPr>
                <w:sz w:val="20"/>
                <w:szCs w:val="20"/>
              </w:rPr>
              <w:t xml:space="preserve">Type II error, denoted</w:t>
            </w:r>
            <w:r>
              <w:rPr>
                <w:sz w:val="20"/>
                <w:szCs w:val="20"/>
              </w:rPr>
              <w:t xml:space="preserve"> </w:t>
            </w:r>
            <ns5:oMath>
              <ns5:r>
                <ns5:t>β</ns5:t>
              </ns5:r>
            </ns5:oMath>
          </w:p>
        </w:tc>
        <w:tc>
          <w:tcPr>
            <w:tcW w:w="3809" w:type="dxa"/>
            <w:shd w:fill="FFFFFF"/>
            <w:vAlign w:val="top"/>
          </w:tcPr>
          <w:p>
            <w:pPr>
              <w:pStyle w:val="Compact"/>
              <w:keepLines/>
              <w:widowControl/>
              <w:spacing w:before="0" w:after="40" w:line="240" w:lineRule="auto"/>
              <w:jc w:val="left"/>
            </w:pPr>
            <w:r>
              <w:rPr>
                <w:sz w:val="20"/>
                <w:szCs w:val="20"/>
              </w:rPr>
              <w:t xml:space="preserve">Correct detection, with probability called power</w:t>
            </w:r>
            <w:r>
              <w:rPr>
                <w:sz w:val="20"/>
                <w:szCs w:val="20"/>
              </w:rPr>
              <w:t xml:space="preserve"> </w:t>
            </w:r>
            <ns5:oMath>
              <ns5:r>
                <ns5:t>1</ns5:t>
              </ns5:r>
              <ns5:r>
                <ns5:rPr>
                  <ns5:sty ns5:val="p"/>
                </ns5:rPr>
                <ns5:t>−</ns5:t>
              </ns5:r>
              <ns5:r>
                <ns5:t>β</ns5:t>
              </ns5:r>
            </ns5:oMath>
          </w:p>
        </w:tc>
      </w:tr>
    </w:tbl>
    <w:p>
      <w:pPr>
        <w:pStyle w:val="BodyText"/>
      </w:pPr>
      <w:r>
        <w:t xml:space="preserve">Power is the probability that a test rejects</w:t>
      </w:r>
      <w:r>
        <w:t xml:space="preserve"> </w:t>
      </w:r>
      <ns5:oMath>
        <ns5:sSub>
          <ns5:e>
            <ns5:r>
              <ns5:t>H</ns5:t>
            </ns5:r>
          </ns5:e>
          <ns5:sub>
            <ns5:r>
              <ns5:t>0</ns5:t>
            </ns5:r>
          </ns5:sub>
        </ns5:sSub>
      </ns5:oMath>
      <w:r>
        <w:t xml:space="preserve"> </w:t>
      </w:r>
      <w:r>
        <w:t xml:space="preserve">when a specified alternative is true. It increases when the true effect is larger, scores are less variable, the sample is larger, or the significance rule is made less strict. These influences involve tradeoffs. Planning therefore requires a substantively meaningful effect size and a defensible design, not a search for significance after data collection.</w:t>
      </w:r>
    </w:p>
    <w:p>
      <w:pPr>
        <w:pStyle w:val="BodyText"/>
      </w:pPr>
      <w:r>
        <w:t xml:space="preserve">Procedure choice follows the structure of the research question. A one-sample mean procedure compares one group with a reference value. An independent-groups procedure compares separate groups. A paired procedure analyzes linked measurements, such as the same participants before and after an intervention, by working with within-pair differences. A chi-square procedure for a contingency table compares observed categorical counts with counts expected under the null model. In every case, the unit of analysis and dependence structure must be stated.</w:t>
      </w:r>
    </w:p>
    <w:bookmarkEnd w:id="30"/>
    <w:bookmarkStart w:id="31" w:name="formula-guide"/>
    <w:p>
      <w:pPr>
        <w:pStyle w:val="Heading2"/>
      </w:pPr>
      <w:r>
        <w:t xml:space="preserve">Formula guide</w:t>
      </w:r>
    </w:p>
    <w:p>
      <w:pPr>
        <w:pStyle w:val="FirstParagraph"/>
      </w:pPr>
      <w:r>
        <w:t xml:space="preserve">For an independent random sample, the estimated standard error of a sample mean is the sample standard deviation divided by the square root of the sample size:</w:t>
      </w:r>
    </w:p>
    <w:p>
      <w:pPr>
        <w:pStyle w:val="BodyText"/>
      </w:pPr>
      <ns5:oMathPara>
        <ns5:oMathParaPr>
          <ns5:jc ns5:val="center"/>
        </ns5:oMathParaPr>
        <ns5:oMath>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s</ns5:t>
              </ns5:r>
            </ns5:num>
            <ns5:den>
              <ns5:rad>
                <ns5:radPr>
                  <ns5:degHide ns5:val="on"/>
                </ns5:radPr>
                <ns5:deg/>
                <ns5:e>
                  <ns5:r>
                    <ns5:t>n</ns5:t>
                  </ns5:r>
                </ns5:e>
              </ns5:rad>
            </ns5:den>
          </ns5:f>
        </ns5:oMath>
      </ns5:oMathPara>
    </w:p>
    <w:p>
      <w:pPr>
        <w:pStyle w:val="FirstParagraph"/>
      </w:pPr>
      <w:r>
        <w:t xml:space="preserve">The square root explains why uncertainty decreases more slowly than sample size grows. Multiplying</w:t>
      </w:r>
      <w:r>
        <w:t xml:space="preserve"> </w:t>
      </w:r>
      <ns5:oMath>
        <ns5:r>
          <ns5:t>n</ns5:t>
        </ns5:r>
      </ns5:oMath>
      <w:r>
        <w:t xml:space="preserve"> </w:t>
      </w:r>
      <w:r>
        <w:t xml:space="preserve">by four halves this standard error when the variability stays the same.</w:t>
      </w:r>
    </w:p>
    <w:p>
      <w:pPr>
        <w:pStyle w:val="BodyText"/>
      </w:pPr>
      <w:r>
        <w:t xml:space="preserve">A confidence interval combines an estimate</w:t>
      </w:r>
      <w:r>
        <w:t xml:space="preserve"> </w:t>
      </w:r>
      <ns5:oMath>
        <ns5:acc>
          <ns5:accPr>
            <ns5:chr ns5:val="̂"/>
          </ns5:accPr>
          <ns5:e>
            <ns5:r>
              <ns5:t>θ</ns5:t>
            </ns5:r>
          </ns5:e>
        </ns5:acc>
      </ns5:oMath>
      <w:r>
        <w:t xml:space="preserve"> </w:t>
      </w:r>
      <w:r>
        <w:t xml:space="preserve">with its standard error and a critical value</w:t>
      </w:r>
      <w:r>
        <w:t xml:space="preserve"> </w:t>
      </w:r>
      <ns5:oMath>
        <ns5:r>
          <ns5:t>c</ns5:t>
        </ns5:r>
      </ns5:oMath>
      <w:r>
        <w:t xml:space="preserve"> </w:t>
      </w:r>
      <w:r>
        <w:t xml:space="preserve">chosen for the confidence level:</w:t>
      </w:r>
    </w:p>
    <w:p>
      <w:pPr>
        <w:pStyle w:val="BodyText"/>
      </w:pPr>
      <ns5:oMathPara>
        <ns5:oMathParaPr>
          <ns5:jc ns5:val="center"/>
        </ns5:oMathParaPr>
        <ns5:oMath>
          <ns5:acc>
            <ns5:accPr>
              <ns5:chr ns5:val="̂"/>
            </ns5:accPr>
            <ns5:e>
              <ns5:r>
                <ns5:t>θ</ns5:t>
              </ns5:r>
            </ns5:e>
          </ns5:acc>
          <ns5:r>
            <ns5:rPr>
              <ns5:sty ns5:val="p"/>
            </ns5:rPr>
            <ns5:t>±</ns5:t>
          </ns5:r>
          <ns5:r>
            <ns5:t>c</ns5:t>
          </ns5:r>
          <ns5:r>
            <ns5:rPr>
              <ns5:sty ns5:val="p"/>
            </ns5:rPr>
            <ns5:t>⋅</ns5:t>
          </ns5:r>
          <ns5:r>
            <ns5:t>S</ns5:t>
          </ns5:r>
          <ns5:r>
            <ns5:t>E</ns5:t>
          </ns5:r>
          <ns5:d>
            <ns5:dPr>
              <ns5:begChr ns5:val="("/>
              <ns5:sepChr ns5:val=""/>
              <ns5:endChr ns5:val=")"/>
              <ns5:grow/>
            </ns5:dPr>
            <ns5:e>
              <ns5:acc>
                <ns5:accPr>
                  <ns5:chr ns5:val="̂"/>
                </ns5:accPr>
                <ns5:e>
                  <ns5:r>
                    <ns5:t>θ</ns5:t>
                  </ns5:r>
                </ns5:e>
              </ns5:acc>
            </ns5:e>
          </ns5:d>
        </ns5:oMath>
      </ns5:oMathPara>
    </w:p>
    <w:p>
      <w:pPr>
        <w:pStyle w:val="FirstParagraph"/>
      </w:pPr>
      <w:r>
        <w:t xml:space="preserve">If the population standard deviation</w:t>
      </w:r>
      <w:r>
        <w:t xml:space="preserve"> </w:t>
      </w:r>
      <ns5:oMath>
        <ns5:r>
          <ns5:t>σ</ns5:t>
        </ns5:r>
      </ns5:oMath>
      <w:r>
        <w:t xml:space="preserve"> </w:t>
      </w:r>
      <w:r>
        <w:t xml:space="preserve">is known and the stated normal model applies, use the standard-normal reference:</w:t>
      </w:r>
    </w:p>
    <w:p>
      <w:pPr>
        <w:pStyle w:val="BodyText"/>
      </w:pPr>
      <ns5:oMathPara>
        <ns5:oMathParaPr>
          <ns5:jc ns5:val="center"/>
        </ns5:oMathParaPr>
        <ns5:oMath>
          <ns5:acc>
            <ns5:accPr>
              <ns5:chr ns5:val="‾"/>
            </ns5:accPr>
            <ns5:e>
              <ns5:r>
                <ns5:t>x</ns5:t>
              </ns5:r>
            </ns5:e>
          </ns5:acc>
          <ns5:r>
            <ns5:rPr>
              <ns5:sty ns5:val="p"/>
            </ns5:rPr>
            <ns5:t>±</ns5:t>
          </ns5:r>
          <ns5:sSub>
            <ns5:e>
              <ns5:r>
                <ns5:t>z</ns5:t>
              </ns5:r>
            </ns5:e>
            <ns5:sub>
              <ns5:r>
                <ns5:t>1</ns5:t>
              </ns5:r>
              <ns5:r>
                <ns5:rPr>
                  <ns5:sty ns5:val="p"/>
                </ns5:rPr>
                <ns5:t>−</ns5:t>
              </ns5:r>
              <ns5:r>
                <ns5:t>α</ns5:t>
              </ns5:r>
              <ns5:r>
                <ns5:rPr>
                  <ns5:sty ns5:val="p"/>
                </ns5:rPr>
                <ns5:t>/</ns5:t>
              </ns5:r>
              <ns5:r>
                <ns5:t>2</ns5:t>
              </ns5:r>
            </ns5:sub>
          </ns5:sSub>
          <ns5:f>
            <ns5:fPr>
              <ns5:type ns5:val="bar"/>
            </ns5:fPr>
            <ns5:num>
              <ns5:r>
                <ns5:t>σ</ns5:t>
              </ns5:r>
            </ns5:num>
            <ns5:den>
              <ns5:rad>
                <ns5:radPr>
                  <ns5:degHide ns5:val="on"/>
                </ns5:radPr>
                <ns5:deg/>
                <ns5:e>
                  <ns5:r>
                    <ns5:t>n</ns5:t>
                  </ns5:r>
                </ns5:e>
              </ns5:rad>
            </ns5:den>
          </ns5:f>
          <ns5:r>
            <ns5:rPr>
              <ns5:sty ns5:val="p"/>
            </ns5:rPr>
            <ns5:t>,</ns5:t>
          </ns5:r>
          <ns5:r>
            <ns5:t>  </ns5:t>
          </ns5:r>
          <ns5:r>
            <ns5:t>z</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σ</ns5:t>
              </ns5:r>
              <ns5:r>
                <ns5:rPr>
                  <ns5:sty ns5:val="p"/>
                </ns5:rPr>
                <ns5:t>/</ns5:t>
              </ns5:r>
              <ns5:rad>
                <ns5:radPr>
                  <ns5:degHide ns5:val="on"/>
                </ns5:radPr>
                <ns5:deg/>
                <ns5:e>
                  <ns5:r>
                    <ns5:t>n</ns5:t>
                  </ns5:r>
                </ns5:e>
              </ns5:rad>
            </ns5:den>
          </ns5:f>
          <ns5:r>
            <ns5:rPr>
              <ns5:sty ns5:val="p"/>
            </ns5:rPr>
            <ns5:t>.</ns5:t>
          </ns5:r>
        </ns5:oMath>
      </ns5:oMathPara>
    </w:p>
    <w:p>
      <w:pPr>
        <w:pStyle w:val="FirstParagraph"/>
      </w:pPr>
      <w:r>
        <w:t xml:space="preserve">The alternative determines the reference area. A two-sided alternative uses both tails beyond</w:t>
      </w:r>
      <w:r>
        <w:t xml:space="preserve"> </w:t>
      </w:r>
      <ns5:oMath>
        <ns5:d>
          <ns5:dPr>
            <ns5:begChr ns5:val="|"/>
            <ns5:sepChr ns5:val=""/>
            <ns5:endChr ns5:val="|"/>
            <ns5:grow/>
          </ns5:dPr>
          <ns5:e>
            <ns5:r>
              <ns5:t>z</ns5:t>
            </ns5:r>
          </ns5:e>
        </ns5:d>
      </ns5:oMath>
      <w:r>
        <w:t xml:space="preserve"> </w:t>
      </w:r>
      <w:r>
        <w:t xml:space="preserve">or</w:t>
      </w:r>
      <w:r>
        <w:t xml:space="preserve"> </w:t>
      </w:r>
      <ns5:oMath>
        <ns5:d>
          <ns5:dPr>
            <ns5:begChr ns5:val="|"/>
            <ns5:sepChr ns5:val=""/>
            <ns5:endChr ns5:val="|"/>
            <ns5:grow/>
          </ns5:dPr>
          <ns5:e>
            <ns5:r>
              <ns5:t>t</ns5:t>
            </ns5:r>
          </ns5:e>
        </ns5:d>
      </ns5:oMath>
      <w:r>
        <w:t xml:space="preserve">. A one-sided alternative uses the prespecified directional tail. Choosing the direction after seeing the result does not constitute a prespecified one-sided test.</w:t>
      </w:r>
    </w:p>
    <w:p>
      <w:pPr>
        <w:pStyle w:val="BodyText"/>
      </w:pPr>
      <w:r>
        <w:t xml:space="preserve">For a one-sample mean with an estimated population standard deviation, the interval uses a critical value from a</w:t>
      </w:r>
      <w:r>
        <w:t xml:space="preserve"> </w:t>
      </w:r>
      <ns5:oMath>
        <ns5:r>
          <ns5:t>t</ns5:t>
        </ns5:r>
      </ns5:oMath>
      <w:r>
        <w:t xml:space="preserve"> </w:t>
      </w:r>
      <w:r>
        <w:t xml:space="preserve">distribution with</w:t>
      </w:r>
      <w:r>
        <w:t xml:space="preserve"> </w:t>
      </w:r>
      <ns5:oMath>
        <ns5:r>
          <ns5:t>n</ns5:t>
        </ns5:r>
        <ns5:r>
          <ns5:rPr>
            <ns5:sty ns5:val="p"/>
          </ns5:rPr>
          <ns5:t>−</ns5:t>
        </ns5:r>
        <ns5:r>
          <ns5:t>1</ns5:t>
        </ns5:r>
      </ns5:oMath>
      <w:r>
        <w:t xml:space="preserve"> </w:t>
      </w:r>
      <w:r>
        <w:t xml:space="preserve">degrees of freedom:</w:t>
      </w:r>
    </w:p>
    <w:p>
      <w:pPr>
        <w:pStyle w:val="BodyText"/>
      </w:pPr>
      <ns5:oMathPara>
        <ns5:oMathParaPr>
          <ns5:jc ns5:val="center"/>
        </ns5:oMathParaPr>
        <ns5:oMath>
          <ns5:acc>
            <ns5:accPr>
              <ns5:chr ns5:val="‾"/>
            </ns5:accPr>
            <ns5:e>
              <ns5:r>
                <ns5:t>x</ns5:t>
              </ns5:r>
            </ns5:e>
          </ns5:acc>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r>
                <ns5:t>n</ns5:t>
              </ns5:r>
              <ns5:r>
                <ns5:rPr>
                  <ns5:sty ns5:val="p"/>
                </ns5:rPr>
                <ns5:t>−</ns5:t>
              </ns5:r>
              <ns5:r>
                <ns5:t>1</ns5:t>
              </ns5:r>
            </ns5:sub>
          </ns5:sSub>
          <ns5:f>
            <ns5:fPr>
              <ns5:type ns5:val="bar"/>
            </ns5:fPr>
            <ns5:num>
              <ns5:r>
                <ns5:t>s</ns5:t>
              </ns5:r>
            </ns5:num>
            <ns5:den>
              <ns5:rad>
                <ns5:radPr>
                  <ns5:degHide ns5:val="on"/>
                </ns5:radPr>
                <ns5:deg/>
                <ns5:e>
                  <ns5:r>
                    <ns5:t>n</ns5:t>
                  </ns5:r>
                </ns5:e>
              </ns5:rad>
            </ns5:den>
          </ns5:f>
        </ns5:oMath>
      </ns5:oMathPara>
    </w:p>
    <w:p>
      <w:pPr>
        <w:pStyle w:val="FirstParagraph"/>
      </w:pPr>
      <w:r>
        <w:t xml:space="preserve">The corresponding one-sample test statistic compares the observed sample mean with the null value</w:t>
      </w:r>
      <w:r>
        <w:t xml:space="preserve"> </w:t>
      </w:r>
      <ns5:oMath>
        <ns5:sSub>
          <ns5:e>
            <ns5:r>
              <ns5:t>μ</ns5:t>
            </ns5:r>
          </ns5:e>
          <ns5:sub>
            <ns5:r>
              <ns5:t>0</ns5:t>
            </ns5:r>
          </ns5:sub>
        </ns5:sSub>
      </ns5:oMath>
      <w:r>
        <w:t xml:space="preserve">:</w:t>
      </w:r>
    </w:p>
    <w:p>
      <w:pPr>
        <w:pStyle w:val="BodyText"/>
      </w:pPr>
      <ns5:oMathPara>
        <ns5:oMathParaPr>
          <ns5:jc ns5:val="center"/>
        </ns5:oMathParaPr>
        <ns5:oMath>
          <ns5:r>
            <ns5:t>t</ns5:t>
          </ns5:r>
          <ns5:r>
            <ns5:rPr>
              <ns5:sty ns5:val="p"/>
            </ns5:rPr>
            <ns5:t>=</ns5:t>
          </ns5:r>
          <ns5:f>
            <ns5:fPr>
              <ns5:type ns5:val="bar"/>
            </ns5:fPr>
            <ns5:num>
              <ns5:acc>
                <ns5:accPr>
                  <ns5:chr ns5:val="‾"/>
                </ns5:accPr>
                <ns5:e>
                  <ns5:r>
                    <ns5:t>x</ns5:t>
                  </ns5:r>
                </ns5:e>
              </ns5:acc>
              <ns5:r>
                <ns5:rPr>
                  <ns5:sty ns5:val="p"/>
                </ns5:rPr>
                <ns5:t>−</ns5:t>
              </ns5:r>
              <ns5:sSub>
                <ns5:e>
                  <ns5:r>
                    <ns5:t>μ</ns5:t>
                  </ns5:r>
                </ns5:e>
                <ns5:sub>
                  <ns5:r>
                    <ns5:t>0</ns5:t>
                  </ns5:r>
                </ns5:sub>
              </ns5:sSub>
            </ns5:num>
            <ns5:den>
              <ns5:r>
                <ns5:t>s</ns5:t>
              </ns5:r>
              <ns5:r>
                <ns5:rPr>
                  <ns5:sty ns5:val="p"/>
                </ns5:rPr>
                <ns5:t>/</ns5:t>
              </ns5:r>
              <ns5:rad>
                <ns5:radPr>
                  <ns5:degHide ns5:val="on"/>
                </ns5:radPr>
                <ns5:deg/>
                <ns5:e>
                  <ns5:r>
                    <ns5:t>n</ns5:t>
                  </ns5:r>
                </ns5:e>
              </ns5:rad>
            </ns5:den>
          </ns5:f>
        </ns5:oMath>
      </ns5:oMathPara>
    </w:p>
    <w:p>
      <w:pPr>
        <w:pStyle w:val="FirstParagraph"/>
      </w:pPr>
      <w:r>
        <w:t xml:space="preserve">The numerator is the observed difference from the null claim. The denominator translates that difference into standard-error units. For paired measurements, first calculate one difference</w:t>
      </w:r>
      <w:r>
        <w:t xml:space="preserve"> </w:t>
      </w:r>
      <ns5:oMath>
        <ns5:sSub>
          <ns5:e>
            <ns5:r>
              <ns5:t>d</ns5:t>
            </ns5:r>
          </ns5:e>
          <ns5:sub>
            <ns5:r>
              <ns5:t>i</ns5:t>
            </ns5:r>
          </ns5:sub>
        </ns5:sSub>
      </ns5:oMath>
      <w:r>
        <w:t xml:space="preserve"> </w:t>
      </w:r>
      <w:r>
        <w:t xml:space="preserve">per pair and then apply the same one-sample reasoning to the mean difference</w:t>
      </w:r>
      <w:r>
        <w:t xml:space="preserve"> </w:t>
      </w:r>
      <ns5:oMath>
        <ns5:acc>
          <ns5:accPr>
            <ns5:chr ns5:val="‾"/>
          </ns5:accPr>
          <ns5:e>
            <ns5:r>
              <ns5:t>d</ns5:t>
            </ns5:r>
          </ns5:e>
        </ns5:acc>
      </ns5:oMath>
      <w:r>
        <w:t xml:space="preserve">:</w:t>
      </w:r>
    </w:p>
    <w:p>
      <w:pPr>
        <w:pStyle w:val="BodyText"/>
      </w:pPr>
      <ns5:oMathPara>
        <ns5:oMathParaPr>
          <ns5:jc ns5:val="center"/>
        </ns5:oMathParaPr>
        <ns5:oMath>
          <ns5:r>
            <ns5:t>t</ns5:t>
          </ns5:r>
          <ns5:r>
            <ns5:rPr>
              <ns5:sty ns5:val="p"/>
            </ns5:rPr>
            <ns5:t>=</ns5:t>
          </ns5:r>
          <ns5:f>
            <ns5:fPr>
              <ns5:type ns5:val="bar"/>
            </ns5:fPr>
            <ns5:num>
              <ns5:acc>
                <ns5:accPr>
                  <ns5:chr ns5:val="‾"/>
                </ns5:accPr>
                <ns5:e>
                  <ns5:r>
                    <ns5:t>d</ns5:t>
                  </ns5:r>
                </ns5:e>
              </ns5:acc>
              <ns5:r>
                <ns5:rPr>
                  <ns5:sty ns5:val="p"/>
                </ns5:rPr>
                <ns5:t>−</ns5:t>
              </ns5:r>
              <ns5:r>
                <ns5:t>0</ns5:t>
              </ns5:r>
            </ns5:num>
            <ns5:den>
              <ns5:sSub>
                <ns5:e>
                  <ns5:r>
                    <ns5:t>s</ns5:t>
                  </ns5:r>
                </ns5:e>
                <ns5:sub>
                  <ns5:r>
                    <ns5:t>d</ns5:t>
                  </ns5:r>
                </ns5:sub>
              </ns5:sSub>
              <ns5:r>
                <ns5:rPr>
                  <ns5:sty ns5:val="p"/>
                </ns5:rPr>
                <ns5:t>/</ns5:t>
              </ns5:r>
              <ns5:rad>
                <ns5:radPr>
                  <ns5:degHide ns5:val="on"/>
                </ns5:radPr>
                <ns5:deg/>
                <ns5:e>
                  <ns5:r>
                    <ns5:t>n</ns5:t>
                  </ns5:r>
                </ns5:e>
              </ns5:rad>
            </ns5:den>
          </ns5:f>
        </ns5:oMath>
      </ns5:oMathPara>
    </w:p>
    <w:p>
      <w:pPr>
        <w:pStyle w:val="FirstParagraph"/>
      </w:pPr>
      <w:r>
        <w:t xml:space="preserve">This preserves the pairing. Treating the measurements as unrelated would discard information about which two observations belong together.</w:t>
      </w:r>
    </w:p>
    <w:p>
      <w:pPr>
        <w:pStyle w:val="BodyText"/>
      </w:pPr>
      <w:r>
        <w:t xml:space="preserve">For two independent samples under the equal-population-variance model taught here, first pool the two sample variances:</w:t>
      </w:r>
    </w:p>
    <w:p>
      <w:pPr>
        <w:pStyle w:val="BodyText"/>
      </w:pPr>
      <ns5:oMathPara>
        <ns5:oMathParaPr>
          <ns5:jc ns5:val="center"/>
        </ns5:oMathParaPr>
        <ns5:oMath>
          <ns5:sSubSup>
            <ns5:e>
              <ns5:r>
                <ns5:t>s</ns5:t>
              </ns5:r>
            </ns5:e>
            <ns5:sub>
              <ns5:r>
                <ns5:t>p</ns5:t>
              </ns5:r>
            </ns5:sub>
            <ns5:sup>
              <ns5:r>
                <ns5:t>2</ns5:t>
              </ns5:r>
            </ns5:sup>
          </ns5:sSubSup>
          <ns5:r>
            <ns5:rPr>
              <ns5:sty ns5:val="p"/>
            </ns5:rPr>
            <ns5:t>=</ns5:t>
          </ns5:r>
          <ns5:f>
            <ns5:fPr>
              <ns5:type ns5:val="bar"/>
            </ns5:fPr>
            <ns5:num>
              <ns5:d>
                <ns5:dPr>
                  <ns5:begChr ns5:val="("/>
                  <ns5:sepChr ns5:val=""/>
                  <ns5:endChr ns5:val=")"/>
                  <ns5:grow/>
                </ns5:dPr>
                <ns5:e>
                  <ns5:sSub>
                    <ns5:e>
                      <ns5:r>
                        <ns5:t>n</ns5:t>
                      </ns5:r>
                    </ns5:e>
                    <ns5:sub>
                      <ns5:r>
                        <ns5:t>1</ns5:t>
                      </ns5:r>
                    </ns5:sub>
                  </ns5:sSub>
                  <ns5:r>
                    <ns5:rPr>
                      <ns5:sty ns5:val="p"/>
                    </ns5:rPr>
                    <ns5:t>−</ns5:t>
                  </ns5:r>
                  <ns5:r>
                    <ns5:t>1</ns5:t>
                  </ns5:r>
                </ns5:e>
              </ns5:d>
              <ns5:sSubSup>
                <ns5:e>
                  <ns5:r>
                    <ns5:t>s</ns5:t>
                  </ns5:r>
                </ns5:e>
                <ns5:sub>
                  <ns5:r>
                    <ns5:t>1</ns5:t>
                  </ns5:r>
                </ns5:sub>
                <ns5:sup>
                  <ns5:r>
                    <ns5:t>2</ns5:t>
                  </ns5:r>
                </ns5:sup>
              </ns5:sSubSup>
              <ns5:r>
                <ns5:rPr>
                  <ns5:sty ns5:val="p"/>
                </ns5:rPr>
                <ns5:t>+</ns5:t>
              </ns5:r>
              <ns5:d>
                <ns5:dPr>
                  <ns5:begChr ns5:val="("/>
                  <ns5:sepChr ns5:val=""/>
                  <ns5:endChr ns5:val=")"/>
                  <ns5:grow/>
                </ns5:dPr>
                <ns5:e>
                  <ns5:sSub>
                    <ns5:e>
                      <ns5:r>
                        <ns5:t>n</ns5:t>
                      </ns5:r>
                    </ns5:e>
                    <ns5:sub>
                      <ns5:r>
                        <ns5:t>2</ns5:t>
                      </ns5:r>
                    </ns5:sub>
                  </ns5:sSub>
                  <ns5:r>
                    <ns5:rPr>
                      <ns5:sty ns5:val="p"/>
                    </ns5:rPr>
                    <ns5:t>−</ns5:t>
                  </ns5:r>
                  <ns5:r>
                    <ns5:t>1</ns5:t>
                  </ns5:r>
                </ns5:e>
              </ns5:d>
              <ns5:sSubSup>
                <ns5:e>
                  <ns5:r>
                    <ns5:t>s</ns5:t>
                  </ns5:r>
                </ns5:e>
                <ns5:sub>
                  <ns5:r>
                    <ns5:t>2</ns5:t>
                  </ns5:r>
                </ns5:sub>
                <ns5:sup>
                  <ns5:r>
                    <ns5:t>2</ns5:t>
                  </ns5:r>
                </ns5:sup>
              </ns5:sSubSup>
            </ns5:num>
            <ns5:den>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den>
          </ns5:f>
          <ns5:r>
            <ns5:rPr>
              <ns5:sty ns5:val="p"/>
            </ns5:rPr>
            <ns5:t>.</ns5:t>
          </ns5:r>
        </ns5:oMath>
      </ns5:oMathPara>
    </w:p>
    <w:p>
      <w:pPr>
        <w:pStyle w:val="FirstParagraph"/>
      </w:pPr>
      <w:r>
        <w:t xml:space="preserve">Then calculate</w:t>
      </w:r>
    </w:p>
    <w:p>
      <w:pPr>
        <w:pStyle w:val="BodyText"/>
      </w:pPr>
      <ns5:oMathPara>
        <ns5:oMathParaPr>
          <ns5:jc ns5:val="center"/>
        </ns5:oMathParaPr>
        <ns5:oMath>
          <ns5:r>
            <ns5:t>S</ns5:t>
          </ns5:r>
          <ns5:r>
            <ns5:t>E</ns5:t>
          </ns5:r>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ns5:oMathPara>
        <ns5:oMathParaPr>
          <ns5:jc ns5:val="center"/>
        </ns5:oMathParaPr>
        <ns5:oMath>
          <ns5:r>
            <ns5:t>t</ns5:t>
          </ns5:r>
          <ns5:r>
            <ns5:rPr>
              <ns5:sty ns5:val="p"/>
            </ns5:rPr>
            <ns5:t>=</ns5:t>
          </ns5:r>
          <ns5:f>
            <ns5:fPr>
              <ns5:type ns5:val="bar"/>
            </ns5:fPr>
            <ns5:num>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num>
            <ns5:den>
              <ns5:sSub>
                <ns5:e>
                  <ns5:r>
                    <ns5:t>s</ns5:t>
                  </ns5:r>
                </ns5:e>
                <ns5:sub>
                  <ns5:r>
                    <ns5:t>p</ns5:t>
                  </ns5:r>
                </ns5:sub>
              </ns5:sSub>
              <ns5:rad>
                <ns5:radPr>
                  <ns5:degHide ns5:val="on"/>
                </ns5:radPr>
                <ns5:deg/>
                <ns5:e>
                  <ns5:r>
                    <ns5:t>1</ns5:t>
                  </ns5:r>
                  <ns5:r>
                    <ns5:rPr>
                      <ns5:sty ns5:val="p"/>
                    </ns5:rPr>
                    <ns5:t>/</ns5:t>
                  </ns5:r>
                  <ns5:sSub>
                    <ns5:e>
                      <ns5:r>
                        <ns5:t>n</ns5:t>
                      </ns5:r>
                    </ns5:e>
                    <ns5:sub>
                      <ns5:r>
                        <ns5:t>1</ns5:t>
                      </ns5:r>
                    </ns5:sub>
                  </ns5:sSub>
                  <ns5:r>
                    <ns5:rPr>
                      <ns5:sty ns5:val="p"/>
                    </ns5:rPr>
                    <ns5:t>+</ns5:t>
                  </ns5:r>
                  <ns5:r>
                    <ns5:t>1</ns5:t>
                  </ns5:r>
                  <ns5:r>
                    <ns5:rPr>
                      <ns5:sty ns5:val="p"/>
                    </ns5:rPr>
                    <ns5:t>/</ns5:t>
                  </ns5:r>
                  <ns5:sSub>
                    <ns5:e>
                      <ns5:r>
                        <ns5:t>n</ns5:t>
                      </ns5:r>
                    </ns5:e>
                    <ns5:sub>
                      <ns5:r>
                        <ns5:t>2</ns5:t>
                      </ns5:r>
                    </ns5:sub>
                  </ns5:sSub>
                </ns5:e>
              </ns5:rad>
            </ns5:den>
          </ns5:f>
          <ns5:r>
            <ns5:rPr>
              <ns5:sty ns5:val="p"/>
            </ns5:rPr>
            <ns5:t>,</ns5:t>
          </ns5:r>
          <ns5:r>
            <ns5:t>  </ns5:t>
          </ns5:r>
          <ns5:r>
            <ns5:t>d</ns5:t>
          </ns5:r>
          <ns5:r>
            <ns5:t>f</ns5:t>
          </ns5:r>
          <ns5:r>
            <ns5:rPr>
              <ns5:sty ns5:val="p"/>
            </ns5:rPr>
            <ns5:t>=</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r>
            <ns5:rPr>
              <ns5:sty ns5:val="p"/>
            </ns5:rPr>
            <ns5:t>.</ns5:t>
          </ns5:r>
        </ns5:oMath>
      </ns5:oMathPara>
    </w:p>
    <w:p>
      <w:pPr>
        <w:pStyle w:val="FirstParagraph"/>
      </w:pPr>
      <w:r>
        <w:t xml:space="preserve">The matching two-sided interval replaces the numerator with</w:t>
      </w:r>
    </w:p>
    <w:p>
      <w:pPr>
        <w:pStyle w:val="BodyText"/>
      </w:pPr>
      <ns5:oMathPara>
        <ns5:oMathParaPr>
          <ns5:jc ns5:val="center"/>
        </ns5:oMathParaPr>
        <ns5:oMath>
          <ns5:d>
            <ns5:dPr>
              <ns5:begChr ns5:val="("/>
              <ns5:sepChr ns5:val=""/>
              <ns5:endChr ns5:val=")"/>
              <ns5:grow/>
            </ns5:dPr>
            <ns5:e>
              <ns5:sSub>
                <ns5:e>
                  <ns5:acc>
                    <ns5:accPr>
                      <ns5:chr ns5:val="‾"/>
                    </ns5:accPr>
                    <ns5:e>
                      <ns5:r>
                        <ns5:t>x</ns5:t>
                      </ns5:r>
                    </ns5:e>
                  </ns5:acc>
                </ns5:e>
                <ns5:sub>
                  <ns5:r>
                    <ns5:t>1</ns5:t>
                  </ns5:r>
                </ns5:sub>
              </ns5:sSub>
              <ns5:r>
                <ns5:rPr>
                  <ns5:sty ns5:val="p"/>
                </ns5:rPr>
                <ns5:t>−</ns5:t>
              </ns5:r>
              <ns5:sSub>
                <ns5:e>
                  <ns5:acc>
                    <ns5:accPr>
                      <ns5:chr ns5:val="‾"/>
                    </ns5:accPr>
                    <ns5:e>
                      <ns5:r>
                        <ns5:t>x</ns5:t>
                      </ns5:r>
                    </ns5:e>
                  </ns5:acc>
                </ns5:e>
                <ns5:sub>
                  <ns5:r>
                    <ns5:t>2</ns5:t>
                  </ns5:r>
                </ns5:sub>
              </ns5:sSub>
            </ns5:e>
          </ns5:d>
          <ns5:r>
            <ns5:rPr>
              <ns5:sty ns5:val="p"/>
            </ns5:rPr>
            <ns5:t>±</ns5:t>
          </ns5:r>
          <ns5:sSub>
            <ns5:e>
              <ns5:r>
                <ns5:t>t</ns5:t>
              </ns5:r>
            </ns5:e>
            <ns5:sub>
              <ns5:r>
                <ns5:t>1</ns5:t>
              </ns5:r>
              <ns5:r>
                <ns5:rPr>
                  <ns5:sty ns5:val="p"/>
                </ns5:rPr>
                <ns5:t>−</ns5:t>
              </ns5:r>
              <ns5:r>
                <ns5:t>α</ns5:t>
              </ns5:r>
              <ns5:r>
                <ns5:rPr>
                  <ns5:sty ns5:val="p"/>
                </ns5:rPr>
                <ns5:t>/</ns5:t>
              </ns5:r>
              <ns5:r>
                <ns5:t>2</ns5:t>
              </ns5:r>
              <ns5:r>
                <ns5:rPr>
                  <ns5:sty ns5:val="p"/>
                </ns5:rPr>
                <ns5:t>,</ns5:t>
              </ns5:r>
              <ns5:r>
                <ns5:t> </ns5:t>
              </ns5:r>
              <ns5:sSub>
                <ns5:e>
                  <ns5:r>
                    <ns5:t>n</ns5:t>
                  </ns5:r>
                </ns5:e>
                <ns5:sub>
                  <ns5:r>
                    <ns5:t>1</ns5:t>
                  </ns5:r>
                </ns5:sub>
              </ns5:sSub>
              <ns5:r>
                <ns5:rPr>
                  <ns5:sty ns5:val="p"/>
                </ns5:rPr>
                <ns5:t>+</ns5:t>
              </ns5:r>
              <ns5:sSub>
                <ns5:e>
                  <ns5:r>
                    <ns5:t>n</ns5:t>
                  </ns5:r>
                </ns5:e>
                <ns5:sub>
                  <ns5:r>
                    <ns5:t>2</ns5:t>
                  </ns5:r>
                </ns5:sub>
              </ns5:sSub>
              <ns5:r>
                <ns5:rPr>
                  <ns5:sty ns5:val="p"/>
                </ns5:rPr>
                <ns5:t>−</ns5:t>
              </ns5:r>
              <ns5:r>
                <ns5:t>2</ns5:t>
              </ns5:r>
            </ns5:sub>
          </ns5:sSub>
          <ns5:sSub>
            <ns5:e>
              <ns5:r>
                <ns5:t>s</ns5:t>
              </ns5:r>
            </ns5:e>
            <ns5:sub>
              <ns5:r>
                <ns5:t>p</ns5:t>
              </ns5:r>
            </ns5:sub>
          </ns5:sSub>
          <ns5:rad>
            <ns5:radPr>
              <ns5:degHide ns5:val="on"/>
            </ns5:radPr>
            <ns5:deg/>
            <ns5:e>
              <ns5:f>
                <ns5:fPr>
                  <ns5:type ns5:val="bar"/>
                </ns5:fPr>
                <ns5:num>
                  <ns5:r>
                    <ns5:t>1</ns5:t>
                  </ns5:r>
                </ns5:num>
                <ns5:den>
                  <ns5:sSub>
                    <ns5:e>
                      <ns5:r>
                        <ns5:t>n</ns5:t>
                      </ns5:r>
                    </ns5:e>
                    <ns5:sub>
                      <ns5:r>
                        <ns5:t>1</ns5:t>
                      </ns5:r>
                    </ns5:sub>
                  </ns5:sSub>
                </ns5:den>
              </ns5:f>
              <ns5:r>
                <ns5:rPr>
                  <ns5:sty ns5:val="p"/>
                </ns5:rPr>
                <ns5:t>+</ns5:t>
              </ns5:r>
              <ns5:f>
                <ns5:fPr>
                  <ns5:type ns5:val="bar"/>
                </ns5:fPr>
                <ns5:num>
                  <ns5:r>
                    <ns5:t>1</ns5:t>
                  </ns5:r>
                </ns5:num>
                <ns5:den>
                  <ns5:sSub>
                    <ns5:e>
                      <ns5:r>
                        <ns5:t>n</ns5:t>
                      </ns5:r>
                    </ns5:e>
                    <ns5:sub>
                      <ns5:r>
                        <ns5:t>2</ns5:t>
                      </ns5:r>
                    </ns5:sub>
                  </ns5:sSub>
                </ns5:den>
              </ns5:f>
            </ns5:e>
          </ns5:rad>
          <ns5:r>
            <ns5:rPr>
              <ns5:sty ns5:val="p"/>
            </ns5:rPr>
            <ns5:t>.</ns5:t>
          </ns5:r>
        </ns5:oMath>
      </ns5:oMathPara>
    </w:p>
    <w:p>
      <w:pPr>
        <w:pStyle w:val="FirstParagraph"/>
      </w:pPr>
      <w:r>
        <w:t xml:space="preserve">The equal-variance condition, procedure name, and calculation must agree. Paired data require the difference-score procedure instead.</w:t>
      </w:r>
    </w:p>
    <w:p>
      <w:pPr>
        <w:pStyle w:val="BodyText"/>
      </w:pPr>
      <w:r>
        <w:t xml:space="preserve">For a one-sample known-</w:t>
      </w:r>
      <ns5:oMath>
        <ns5:r>
          <ns5:t>σ</ns5:t>
        </ns5:r>
      </ns5:oMath>
      <w:r>
        <w:t xml:space="preserve"> </w:t>
      </w:r>
      <w:r>
        <w:t xml:space="preserve">planning question, define the standardized population difference</w:t>
      </w:r>
    </w:p>
    <w:p>
      <w:pPr>
        <w:pStyle w:val="BodyText"/>
      </w:pPr>
      <ns5:oMathPara>
        <ns5:oMathParaPr>
          <ns5:jc ns5:val="center"/>
        </ns5:oMathParaPr>
        <ns5:oMath>
          <ns5:r>
            <ns5:t>δ</ns5:t>
          </ns5:r>
          <ns5:r>
            <ns5:rPr>
              <ns5:sty ns5:val="p"/>
            </ns5:rPr>
            <ns5:t>=</ns5:t>
          </ns5:r>
          <ns5:f>
            <ns5:fPr>
              <ns5:type ns5:val="bar"/>
            </ns5:fPr>
            <ns5:num>
              <ns5:r>
                <ns5:t>μ</ns5:t>
              </ns5:r>
              <ns5:r>
                <ns5:rPr>
                  <ns5:sty ns5:val="p"/>
                </ns5:rPr>
                <ns5:t>−</ns5:t>
              </ns5:r>
              <ns5:sSub>
                <ns5:e>
                  <ns5:r>
                    <ns5:t>μ</ns5:t>
                  </ns5:r>
                </ns5:e>
                <ns5:sub>
                  <ns5:r>
                    <ns5:t>0</ns5:t>
                  </ns5:r>
                </ns5:sub>
              </ns5:sSub>
            </ns5:num>
            <ns5:den>
              <ns5:r>
                <ns5:t>σ</ns5:t>
              </ns5:r>
            </ns5:den>
          </ns5:f>
          <ns5:r>
            <ns5:rPr>
              <ns5:sty ns5:val="p"/>
            </ns5:rPr>
            <ns5:t>,</ns5:t>
          </ns5:r>
          <ns5:r>
            <ns5:t>  </ns5:t>
          </ns5:r>
          <ns5:r>
            <ns5:rPr>
              <ns5:nor/>
              <ns5:sty ns5:val="p"/>
            </ns5:rPr>
            <ns5:t>Power</ns5:t>
          </ns5:r>
          <ns5:r>
            <ns5:rPr>
              <ns5:sty ns5:val="p"/>
            </ns5:rPr>
            <ns5:t>=</ns5:t>
          </ns5:r>
          <ns5:r>
            <ns5:t>1</ns5:t>
          </ns5:r>
          <ns5:r>
            <ns5:rPr>
              <ns5:sty ns5:val="p"/>
            </ns5:rPr>
            <ns5:t>−</ns5:t>
          </ns5:r>
          <ns5:r>
            <ns5:t>β</ns5:t>
          </ns5:r>
          <ns5:r>
            <ns5:rPr>
              <ns5:sty ns5:val="p"/>
            </ns5:rPr>
            <ns5:t>.</ns5:t>
          </ns5:r>
        </ns5:oMath>
      </ns5:oMathPara>
    </w:p>
    <w:p>
      <w:pPr>
        <w:pStyle w:val="FirstParagraph"/>
      </w:pPr>
      <w:r>
        <w:t xml:space="preserve">In the one-sided z planning model used in the supplied material, the sample size required for significance level</w:t>
      </w:r>
      <w:r>
        <w:t xml:space="preserve"> </w:t>
      </w:r>
      <ns5:oMath>
        <ns5:r>
          <ns5:t>α</ns5:t>
        </ns5:r>
      </ns5:oMath>
      <w:r>
        <w:t xml:space="preserve"> </w:t>
      </w:r>
      <w:r>
        <w:t xml:space="preserve">and target power</w:t>
      </w:r>
      <w:r>
        <w:t xml:space="preserve"> </w:t>
      </w:r>
      <ns5:oMath>
        <ns5:r>
          <ns5:t>1</ns5:t>
        </ns5:r>
        <ns5:r>
          <ns5:rPr>
            <ns5:sty ns5:val="p"/>
          </ns5:rPr>
          <ns5:t>−</ns5:t>
        </ns5:r>
        <ns5:r>
          <ns5:t>β</ns5:t>
        </ns5:r>
      </ns5:oMath>
      <w:r>
        <w:t xml:space="preserve"> </w:t>
      </w:r>
      <w:r>
        <w:t xml:space="preserve">is</w:t>
      </w:r>
    </w:p>
    <w:p>
      <w:pPr>
        <w:pStyle w:val="BodyText"/>
      </w:pPr>
      <ns5:oMathPara>
        <ns5:oMathParaPr>
          <ns5:jc ns5:val="center"/>
        </ns5:oMathParaPr>
        <ns5:oMath>
          <ns5:r>
            <ns5:t>n</ns5:t>
          </ns5:r>
          <ns5:r>
            <ns5:rPr>
              <ns5:sty ns5:val="p"/>
            </ns5:rPr>
            <ns5:t>=</ns5:t>
          </ns5:r>
          <ns5:sSup>
            <ns5:e>
              <ns5:d>
                <ns5:dPr>
                  <ns5:begChr ns5:val="("/>
                  <ns5:sepChr ns5:val=""/>
                  <ns5:endChr ns5:val=")"/>
                  <ns5:grow/>
                </ns5:dPr>
                <ns5:e>
                  <ns5:f>
                    <ns5:fPr>
                      <ns5:type ns5:val="bar"/>
                    </ns5:fPr>
                    <ns5:num>
                      <ns5:sSub>
                        <ns5:e>
                          <ns5:r>
                            <ns5:t>z</ns5:t>
                          </ns5:r>
                        </ns5:e>
                        <ns5:sub>
                          <ns5:r>
                            <ns5:t>1</ns5:t>
                          </ns5:r>
                          <ns5:r>
                            <ns5:rPr>
                              <ns5:sty ns5:val="p"/>
                            </ns5:rPr>
                            <ns5:t>−</ns5:t>
                          </ns5:r>
                          <ns5:r>
                            <ns5:t>α</ns5:t>
                          </ns5:r>
                        </ns5:sub>
                      </ns5:sSub>
                      <ns5:r>
                        <ns5:rPr>
                          <ns5:sty ns5:val="p"/>
                        </ns5:rPr>
                        <ns5:t>+</ns5:t>
                      </ns5:r>
                      <ns5:sSub>
                        <ns5:e>
                          <ns5:r>
                            <ns5:t>z</ns5:t>
                          </ns5:r>
                        </ns5:e>
                        <ns5:sub>
                          <ns5:r>
                            <ns5:t>1</ns5:t>
                          </ns5:r>
                          <ns5:r>
                            <ns5:rPr>
                              <ns5:sty ns5:val="p"/>
                            </ns5:rPr>
                            <ns5:t>−</ns5:t>
                          </ns5:r>
                          <ns5:r>
                            <ns5:t>β</ns5:t>
                          </ns5:r>
                        </ns5:sub>
                      </ns5:sSub>
                    </ns5:num>
                    <ns5:den>
                      <ns5:r>
                        <ns5:t>δ</ns5:t>
                      </ns5:r>
                    </ns5:den>
                  </ns5:f>
                </ns5:e>
              </ns5:d>
            </ns5:e>
            <ns5:sup>
              <ns5:r>
                <ns5:t>2</ns5:t>
              </ns5:r>
            </ns5:sup>
          </ns5:sSup>
          <ns5:r>
            <ns5:rPr>
              <ns5:sty ns5:val="p"/>
            </ns5:rPr>
            <ns5:t>.</ns5:t>
          </ns5:r>
        </ns5:oMath>
      </ns5:oMathPara>
    </w:p>
    <w:p>
      <w:pPr>
        <w:pStyle w:val="FirstParagraph"/>
      </w:pPr>
      <w:r>
        <w:t xml:space="preserve">Round the result up. This formula belongs to that stated model and is not a universal sample-size rule. Power increases with sample size and effect magnitude, and decreases when a stricter significance level moves the rejection boundary farther into the tail.</w:t>
      </w:r>
    </w:p>
    <w:p>
      <w:pPr>
        <w:pStyle w:val="BodyText"/>
      </w:pPr>
      <w:r>
        <w:t xml:space="preserve">For two categorical variables, the expected count under independence in row</w:t>
      </w:r>
      <w:r>
        <w:t xml:space="preserve"> </w:t>
      </w:r>
      <ns5:oMath>
        <ns5:r>
          <ns5:t>i</ns5:t>
        </ns5:r>
      </ns5:oMath>
      <w:r>
        <w:t xml:space="preserve"> </w:t>
      </w:r>
      <w:r>
        <w:t xml:space="preserve">and column</w:t>
      </w:r>
      <w:r>
        <w:t xml:space="preserve"> </w:t>
      </w:r>
      <ns5:oMath>
        <ns5:r>
          <ns5:t>j</ns5:t>
        </ns5:r>
      </ns5:oMath>
      <w:r>
        <w:t xml:space="preserve"> </w:t>
      </w:r>
      <w:r>
        <w:t xml:space="preserve">is</w:t>
      </w:r>
    </w:p>
    <w:p>
      <w:pPr>
        <w:pStyle w:val="BodyText"/>
      </w:pPr>
      <ns5:oMathPara>
        <ns5:oMathParaPr>
          <ns5:jc ns5:val="center"/>
        </ns5:oMathParaPr>
        <ns5:oMath>
          <ns5:sSub>
            <ns5:e>
              <ns5:r>
                <ns5:t>m</ns5:t>
              </ns5:r>
            </ns5:e>
            <ns5:sub>
              <ns5:r>
                <ns5:t>i</ns5:t>
              </ns5:r>
              <ns5:r>
                <ns5:t>j</ns5:t>
              </ns5:r>
            </ns5:sub>
          </ns5:sSub>
          <ns5:r>
            <ns5:rPr>
              <ns5:sty ns5:val="p"/>
            </ns5:rPr>
            <ns5:t>=</ns5:t>
          </ns5:r>
          <ns5:f>
            <ns5:fPr>
              <ns5:type ns5:val="bar"/>
            </ns5:fPr>
            <ns5:num>
              <ns5:sSub>
                <ns5:e>
                  <ns5:r>
                    <ns5:t>n</ns5:t>
                  </ns5:r>
                </ns5:e>
                <ns5:sub>
                  <ns5:r>
                    <ns5:t>i</ns5:t>
                  </ns5:r>
                  <ns5:r>
                    <ns5:rPr>
                      <ns5:sty ns5:val="p"/>
                    </ns5:rPr>
                    <ns5:t>⋅</ns5:t>
                  </ns5:r>
                </ns5:sub>
              </ns5:sSub>
              <ns5:sSub>
                <ns5:e>
                  <ns5:r>
                    <ns5:t>n</ns5:t>
                  </ns5:r>
                </ns5:e>
                <ns5:sub>
                  <ns5:r>
                    <ns5:rPr>
                      <ns5:sty ns5:val="p"/>
                    </ns5:rPr>
                    <ns5:t>⋅</ns5:t>
                  </ns5:r>
                  <ns5:r>
                    <ns5:t>j</ns5:t>
                  </ns5:r>
                </ns5:sub>
              </ns5:sSub>
            </ns5:num>
            <ns5:den>
              <ns5:r>
                <ns5:t>n</ns5:t>
              </ns5:r>
            </ns5:den>
          </ns5:f>
          <ns5:r>
            <ns5:rPr>
              <ns5:sty ns5:val="p"/>
            </ns5:rPr>
            <ns5:t>.</ns5:t>
          </ns5:r>
        </ns5:oMath>
      </ns5:oMathPara>
    </w:p>
    <w:p>
      <w:pPr>
        <w:pStyle w:val="FirstParagraph"/>
      </w:pPr>
      <w:r>
        <w:t xml:space="preserve">The chi-square statistic and degrees of freedom are</w:t>
      </w:r>
    </w:p>
    <w:p>
      <w:pPr>
        <w:pStyle w:val="BodyText"/>
      </w:pPr>
      <ns5:oMathPara>
        <ns5:oMathParaPr>
          <ns5:jc ns5:val="center"/>
        </ns5:oMathParaPr>
        <ns5:oMath>
          <ns5:sSup>
            <ns5:e>
              <ns5:r>
                <ns5:t>χ</ns5:t>
              </ns5:r>
            </ns5:e>
            <ns5:sup>
              <ns5:r>
                <ns5:t>2</ns5:t>
              </ns5:r>
            </ns5:sup>
          </ns5:sSup>
          <ns5:r>
            <ns5:rPr>
              <ns5:sty ns5:val="p"/>
            </ns5:rPr>
            <ns5:t>=</ns5:t>
          </ns5:r>
          <ns5:nary>
            <ns5:naryPr>
              <ns5:chr ns5:val="∑"/>
              <ns5:limLoc ns5:val="undOvr"/>
              <ns5:subHide ns5:val="off"/>
              <ns5:supHide ns5:val="on"/>
            </ns5:naryPr>
            <ns5:sub>
              <ns5:r>
                <ns5:t>i</ns5:t>
              </ns5:r>
            </ns5:sub>
            <ns5:sup>
              <ns5:r>
                <ns5:t>​</ns5:t>
              </ns5:r>
            </ns5:sup>
            <ns5:e>
              <ns5:nary>
                <ns5:naryPr>
                  <ns5:chr ns5:val="∑"/>
                  <ns5:limLoc ns5:val="undOvr"/>
                  <ns5:subHide ns5:val="off"/>
                  <ns5:supHide ns5:val="on"/>
                </ns5:naryPr>
                <ns5:sub>
                  <ns5:r>
                    <ns5:t>j</ns5:t>
                  </ns5:r>
                </ns5:sub>
                <ns5:sup>
                  <ns5:r>
                    <ns5:t>​</ns5:t>
                  </ns5:r>
                </ns5:sup>
                <ns5:e>
                  <ns5:f>
                    <ns5:fPr>
                      <ns5:type ns5:val="bar"/>
                    </ns5:fPr>
                    <ns5:num>
                      <ns5:sSup>
                        <ns5:e>
                          <ns5:d>
                            <ns5:dPr>
                              <ns5:begChr ns5:val="("/>
                              <ns5:sepChr ns5:val=""/>
                              <ns5:endChr ns5:val=")"/>
                              <ns5:grow/>
                            </ns5:dPr>
                            <ns5:e>
                              <ns5:sSub>
                                <ns5:e>
                                  <ns5:r>
                                    <ns5:t>n</ns5:t>
                                  </ns5:r>
                                </ns5:e>
                                <ns5:sub>
                                  <ns5:r>
                                    <ns5:t>i</ns5:t>
                                  </ns5:r>
                                  <ns5:r>
                                    <ns5:t>j</ns5:t>
                                  </ns5:r>
                                </ns5:sub>
                              </ns5:sSub>
                              <ns5:r>
                                <ns5:rPr>
                                  <ns5:sty ns5:val="p"/>
                                </ns5:rPr>
                                <ns5:t>−</ns5:t>
                              </ns5:r>
                              <ns5:sSub>
                                <ns5:e>
                                  <ns5:r>
                                    <ns5:t>m</ns5:t>
                                  </ns5:r>
                                </ns5:e>
                                <ns5:sub>
                                  <ns5:r>
                                    <ns5:t>i</ns5:t>
                                  </ns5:r>
                                  <ns5:r>
                                    <ns5:t>j</ns5:t>
                                  </ns5:r>
                                </ns5:sub>
                              </ns5:sSub>
                            </ns5:e>
                          </ns5:d>
                        </ns5:e>
                        <ns5:sup>
                          <ns5:r>
                            <ns5:t>2</ns5:t>
                          </ns5:r>
                        </ns5:sup>
                      </ns5:sSup>
                    </ns5:num>
                    <ns5:den>
                      <ns5:sSub>
                        <ns5:e>
                          <ns5:r>
                            <ns5:t>m</ns5:t>
                          </ns5:r>
                        </ns5:e>
                        <ns5:sub>
                          <ns5:r>
                            <ns5:t>i</ns5:t>
                          </ns5:r>
                          <ns5:r>
                            <ns5:t>j</ns5:t>
                          </ns5:r>
                        </ns5:sub>
                      </ns5:sSub>
                    </ns5:den>
                  </ns5:f>
                </ns5:e>
              </ns5:nary>
            </ns5:e>
          </ns5:nary>
          <ns5:r>
            <ns5:rPr>
              <ns5:sty ns5:val="p"/>
            </ns5:rPr>
            <ns5:t>,</ns5:t>
          </ns5:r>
          <ns5:r>
            <ns5:t>  </ns5:t>
          </ns5:r>
          <ns5:r>
            <ns5:t>d</ns5:t>
          </ns5:r>
          <ns5:r>
            <ns5:t>f</ns5:t>
          </ns5:r>
          <ns5:r>
            <ns5:rPr>
              <ns5:sty ns5:val="p"/>
            </ns5:rPr>
            <ns5:t>=</ns5:t>
          </ns5:r>
          <ns5:d>
            <ns5:dPr>
              <ns5:begChr ns5:val="("/>
              <ns5:sepChr ns5:val=""/>
              <ns5:endChr ns5:val=")"/>
              <ns5:grow/>
            </ns5:dPr>
            <ns5:e>
              <ns5:r>
                <ns5:t>k</ns5:t>
              </ns5:r>
              <ns5:r>
                <ns5:rPr>
                  <ns5:sty ns5:val="p"/>
                </ns5:rPr>
                <ns5:t>−</ns5:t>
              </ns5:r>
              <ns5:r>
                <ns5:t>1</ns5:t>
              </ns5:r>
            </ns5:e>
          </ns5:d>
          <ns5:d>
            <ns5:dPr>
              <ns5:begChr ns5:val="("/>
              <ns5:sepChr ns5:val=""/>
              <ns5:endChr ns5:val=")"/>
              <ns5:grow/>
            </ns5:dPr>
            <ns5:e>
              <ns5:r>
                <ns5:t>l</ns5:t>
              </ns5:r>
              <ns5:r>
                <ns5:rPr>
                  <ns5:sty ns5:val="p"/>
                </ns5:rPr>
                <ns5:t>−</ns5:t>
              </ns5:r>
              <ns5:r>
                <ns5:t>1</ns5:t>
              </ns5:r>
            </ns5:e>
          </ns5:d>
          <ns5:r>
            <ns5:rPr>
              <ns5:sty ns5:val="p"/>
            </ns5:rPr>
            <ns5:t>.</ns5:t>
          </ns5:r>
        </ns5:oMath>
      </ns5:oMathPara>
    </w:p>
    <w:p>
      <w:pPr>
        <w:pStyle w:val="FirstParagraph"/>
      </w:pPr>
      <w:r>
        <w:t xml:space="preserve">For a two-by-two table, the magnitude of the phi coefficient is</w:t>
      </w:r>
    </w:p>
    <w:p>
      <w:pPr>
        <w:pStyle w:val="BodyText"/>
      </w:pPr>
      <ns5:oMathPara>
        <ns5:oMathParaPr>
          <ns5:jc ns5:val="center"/>
        </ns5:oMathParaPr>
        <ns5:oMath>
          <ns5:d>
            <ns5:dPr>
              <ns5:begChr ns5:val="|"/>
              <ns5:sepChr ns5:val=""/>
              <ns5:endChr ns5:val="|"/>
              <ns5:grow/>
            </ns5:dPr>
            <ns5:e>
              <ns5:r>
                <ns5:t>ϕ</ns5:t>
              </ns5:r>
            </ns5:e>
          </ns5:d>
          <ns5:r>
            <ns5:rPr>
              <ns5:sty ns5:val="p"/>
            </ns5:rPr>
            <ns5:t>=</ns5:t>
          </ns5:r>
          <ns5:rad>
            <ns5:radPr>
              <ns5:degHide ns5:val="on"/>
            </ns5:radPr>
            <ns5:deg/>
            <ns5:e>
              <ns5:f>
                <ns5:fPr>
                  <ns5:type ns5:val="bar"/>
                </ns5:fPr>
                <ns5:num>
                  <ns5:sSup>
                    <ns5:e>
                      <ns5:r>
                        <ns5:t>χ</ns5:t>
                      </ns5:r>
                    </ns5:e>
                    <ns5:sup>
                      <ns5:r>
                        <ns5:t>2</ns5:t>
                      </ns5:r>
                    </ns5:sup>
                  </ns5:sSup>
                </ns5:num>
                <ns5:den>
                  <ns5:r>
                    <ns5:t>n</ns5:t>
                  </ns5:r>
                </ns5:den>
              </ns5:f>
            </ns5:e>
          </ns5:rad>
          <ns5:r>
            <ns5:rPr>
              <ns5:sty ns5:val="p"/>
            </ns5:rPr>
            <ns5:t>.</ns5:t>
          </ns5:r>
        </ns5:oMath>
      </ns5:oMathPara>
    </w:p>
    <w:p>
      <w:pPr>
        <w:pStyle w:val="FirstParagraph"/>
      </w:pPr>
      <w:r>
        <w:t xml:space="preserve">The approximation used in this learning sequence requires a simple random sample and expected counts greater than 5 in every cell. A large</w:t>
      </w:r>
      <w:r>
        <w:t xml:space="preserve"> </w:t>
      </w:r>
      <ns5:oMath>
        <ns5:sSup>
          <ns5:e>
            <ns5:r>
              <ns5:t>χ</ns5:t>
            </ns5:r>
          </ns5:e>
          <ns5:sup>
            <ns5:r>
              <ns5:t>2</ns5:t>
            </ns5:r>
          </ns5:sup>
        </ns5:sSup>
      </ns5:oMath>
      <w:r>
        <w:t xml:space="preserve"> </w:t>
      </w:r>
      <w:r>
        <w:t xml:space="preserve">counts against independence; it is not evidence for independence.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3048"/>
        <w:gridCol w:w="3333"/>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Question structure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Course procedure</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Quantity analyzed</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One sample versus a reference</w:t>
            </w:r>
          </w:p>
        </w:tc>
        <w:tc>
          <w:tcPr>
            <w:tcW w:w="3048" w:type="dxa"/>
            <w:shd w:fill="F3F7F9"/>
            <w:vAlign w:val="top"/>
          </w:tcPr>
          <w:p>
            <w:pPr>
              <w:pStyle w:val="Compact"/>
              <w:keepLines/>
              <w:widowControl/>
              <w:spacing w:before="0" w:after="40" w:line="240" w:lineRule="auto"/>
              <w:jc w:val="left"/>
            </w:pPr>
            <w:r>
              <w:rPr>
                <w:sz w:val="20"/>
                <w:szCs w:val="20"/>
              </w:rPr>
              <w:t xml:space="preserve">One-sample z or t</w:t>
            </w:r>
          </w:p>
        </w:tc>
        <w:tc>
          <w:tcPr>
            <w:tcW w:w="3333" w:type="dxa"/>
            <w:shd w:fill="F3F7F9"/>
            <w:vAlign w:val="top"/>
          </w:tcPr>
          <w:p>
            <w:pPr>
              <w:pStyle w:val="Compact"/>
              <w:keepLines/>
              <w:widowControl/>
              <w:spacing w:before="0" w:after="40" w:line="240" w:lineRule="auto"/>
              <w:jc w:val="left"/>
            </w:pPr>
            <w:r>
              <w:rPr>
                <w:sz w:val="20"/>
                <w:szCs w:val="20"/>
              </w:rPr>
              <w:t xml:space="preserve">One sample mean</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Two separate groups</w:t>
            </w:r>
          </w:p>
        </w:tc>
        <w:tc>
          <w:tcPr>
            <w:tcW w:w="3048" w:type="dxa"/>
            <w:shd w:fill="FFFFFF"/>
            <w:vAlign w:val="top"/>
          </w:tcPr>
          <w:p>
            <w:pPr>
              <w:pStyle w:val="Compact"/>
              <w:keepLines/>
              <w:widowControl/>
              <w:spacing w:before="0" w:after="40" w:line="240" w:lineRule="auto"/>
              <w:jc w:val="left"/>
            </w:pPr>
            <w:r>
              <w:rPr>
                <w:sz w:val="20"/>
                <w:szCs w:val="20"/>
              </w:rPr>
              <w:t xml:space="preserve">Pooled independent-samples t</w:t>
            </w:r>
          </w:p>
        </w:tc>
        <w:tc>
          <w:tcPr>
            <w:tcW w:w="3333" w:type="dxa"/>
            <w:shd w:fill="FFFFFF"/>
            <w:vAlign w:val="top"/>
          </w:tcPr>
          <w:p>
            <w:pPr>
              <w:pStyle w:val="Compact"/>
              <w:keepLines/>
              <w:widowControl/>
              <w:spacing w:before="0" w:after="40" w:line="240" w:lineRule="auto"/>
              <w:jc w:val="left"/>
            </w:pPr>
            <w:r>
              <w:rPr>
                <w:sz w:val="20"/>
                <w:szCs w:val="20"/>
              </w:rPr>
              <w:t xml:space="preserve">Difference between group means</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Two linked measurements</w:t>
            </w:r>
          </w:p>
        </w:tc>
        <w:tc>
          <w:tcPr>
            <w:tcW w:w="3048" w:type="dxa"/>
            <w:shd w:fill="F3F7F9"/>
            <w:vAlign w:val="top"/>
          </w:tcPr>
          <w:p>
            <w:pPr>
              <w:pStyle w:val="Compact"/>
              <w:keepLines/>
              <w:widowControl/>
              <w:spacing w:before="0" w:after="40" w:line="240" w:lineRule="auto"/>
              <w:jc w:val="left"/>
            </w:pPr>
            <w:r>
              <w:rPr>
                <w:sz w:val="20"/>
                <w:szCs w:val="20"/>
              </w:rPr>
              <w:t xml:space="preserve">Paired t</w:t>
            </w:r>
          </w:p>
        </w:tc>
        <w:tc>
          <w:tcPr>
            <w:tcW w:w="3333" w:type="dxa"/>
            <w:shd w:fill="F3F7F9"/>
            <w:vAlign w:val="top"/>
          </w:tcPr>
          <w:p>
            <w:pPr>
              <w:pStyle w:val="Compact"/>
              <w:keepLines/>
              <w:widowControl/>
              <w:spacing w:before="0" w:after="40" w:line="240" w:lineRule="auto"/>
              <w:jc w:val="left"/>
            </w:pPr>
            <w:r>
              <w:rPr>
                <w:sz w:val="20"/>
                <w:szCs w:val="20"/>
              </w:rPr>
              <w:t xml:space="preserve">Mean of within-pair differences</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Independent groups with a rank-based question</w:t>
            </w:r>
          </w:p>
        </w:tc>
        <w:tc>
          <w:tcPr>
            <w:tcW w:w="3048" w:type="dxa"/>
            <w:shd w:fill="FFFFFF"/>
            <w:vAlign w:val="top"/>
          </w:tcPr>
          <w:p>
            <w:pPr>
              <w:pStyle w:val="Compact"/>
              <w:keepLines/>
              <w:widowControl/>
              <w:spacing w:before="0" w:after="40" w:line="240" w:lineRule="auto"/>
              <w:jc w:val="left"/>
            </w:pPr>
            <w:r>
              <w:rPr>
                <w:sz w:val="20"/>
                <w:szCs w:val="20"/>
              </w:rPr>
              <w:t xml:space="preserve">Wilcoxon rank-sum procedure</w:t>
            </w:r>
          </w:p>
        </w:tc>
        <w:tc>
          <w:tcPr>
            <w:tcW w:w="3333" w:type="dxa"/>
            <w:shd w:fill="FFFFFF"/>
            <w:vAlign w:val="top"/>
          </w:tcPr>
          <w:p>
            <w:pPr>
              <w:pStyle w:val="Compact"/>
              <w:keepLines/>
              <w:widowControl/>
              <w:spacing w:before="0" w:after="40" w:line="240" w:lineRule="auto"/>
              <w:jc w:val="left"/>
            </w:pPr>
            <w:r>
              <w:rPr>
                <w:sz w:val="20"/>
                <w:szCs w:val="20"/>
              </w:rPr>
              <w:t xml:space="preserve">Relative ranks across groups</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Paired observations with a rank-based question</w:t>
            </w:r>
          </w:p>
        </w:tc>
        <w:tc>
          <w:tcPr>
            <w:tcW w:w="3048" w:type="dxa"/>
            <w:shd w:fill="F3F7F9"/>
            <w:vAlign w:val="top"/>
          </w:tcPr>
          <w:p>
            <w:pPr>
              <w:pStyle w:val="Compact"/>
              <w:keepLines/>
              <w:widowControl/>
              <w:spacing w:before="0" w:after="40" w:line="240" w:lineRule="auto"/>
              <w:jc w:val="left"/>
            </w:pPr>
            <w:r>
              <w:rPr>
                <w:sz w:val="20"/>
                <w:szCs w:val="20"/>
              </w:rPr>
              <w:t xml:space="preserve">Wilcoxon signed-rank procedure</w:t>
            </w:r>
          </w:p>
        </w:tc>
        <w:tc>
          <w:tcPr>
            <w:tcW w:w="3333" w:type="dxa"/>
            <w:shd w:fill="F3F7F9"/>
            <w:vAlign w:val="top"/>
          </w:tcPr>
          <w:p>
            <w:pPr>
              <w:pStyle w:val="Compact"/>
              <w:keepLines/>
              <w:widowControl/>
              <w:spacing w:before="0" w:after="40" w:line="240" w:lineRule="auto"/>
              <w:jc w:val="left"/>
            </w:pPr>
            <w:r>
              <w:rPr>
                <w:sz w:val="20"/>
                <w:szCs w:val="20"/>
              </w:rPr>
              <w:t xml:space="preserve">Signed ranks of paired differences</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Two categorical variables</w:t>
            </w:r>
          </w:p>
        </w:tc>
        <w:tc>
          <w:tcPr>
            <w:tcW w:w="3048" w:type="dxa"/>
            <w:shd w:fill="FFFFFF"/>
            <w:vAlign w:val="top"/>
          </w:tcPr>
          <w:p>
            <w:pPr>
              <w:pStyle w:val="Compact"/>
              <w:keepLines/>
              <w:widowControl/>
              <w:spacing w:before="0" w:after="40" w:line="240" w:lineRule="auto"/>
              <w:jc w:val="left"/>
            </w:pPr>
            <w:r>
              <w:rPr>
                <w:sz w:val="20"/>
                <w:szCs w:val="20"/>
              </w:rPr>
              <w:t xml:space="preserve">Chi-square independence procedure</w:t>
            </w:r>
          </w:p>
        </w:tc>
        <w:tc>
          <w:tcPr>
            <w:tcW w:w="3333" w:type="dxa"/>
            <w:shd w:fill="FFFFFF"/>
            <w:vAlign w:val="top"/>
          </w:tcPr>
          <w:p>
            <w:pPr>
              <w:pStyle w:val="Compact"/>
              <w:keepLines/>
              <w:widowControl/>
              <w:spacing w:before="0" w:after="40" w:line="240" w:lineRule="auto"/>
              <w:jc w:val="left"/>
            </w:pPr>
            <w:r>
              <w:rPr>
                <w:sz w:val="20"/>
                <w:szCs w:val="20"/>
              </w:rPr>
              <w:t xml:space="preserve">Observed versus expected cell counts</w:t>
            </w:r>
          </w:p>
        </w:tc>
      </w:tr>
    </w:tbl>
    <w:bookmarkEnd w:id="31"/>
    <w:bookmarkStart w:id="36"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5" w:name="fig-summary-t03"/>
          <w:p>
            <w:pPr>
              <w:pStyle w:val="Compact"/>
              <w:keepNext/>
              <w:jc w:val="center"/>
            </w:pPr>
            <w:r>
              <w:drawing>
                <ns1:inline>
                  <ns1:extent cx="5561584" cy="3283344"/>
                  <ns1:effectExtent b="0" l="0" r="0" t="0"/>
                  <ns1:docPr descr="A horizontal flow moves from population to sample to sample statistic and then to a careful population conclusion, with a sampling distribution feeding the statistic." title="Figure 1" id="33" name="Picture"/>
                  <ns2:graphic>
                    <ns2:graphicData uri="http://schemas.openxmlformats.org/drawingml/2006/picture">
                      <ns3:pic>
                        <ns3:nvPicPr>
                          <ns3:cNvPr descr="assets/topic-03-hypothesis-testing-summary-figure-en.png" id="34" name="Picture"/>
                          <ns3:cNvPicPr>
                            <ns2:picLocks noChangeArrowheads="1" noChangeAspect="1"/>
                          </ns3:cNvPicPr>
                        </ns3:nvPicPr>
                        <ns3:blipFill>
                          <ns2:blip ns4:embed="rId32"/>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A horizontal flow moves from population to sample to sample statistic and then to a careful population conclusion, with a sampling distribution feeding the statistic.</w:t>
            </w:r>
          </w:p>
          <w:bookmarkEnd w:id="35"/>
        </w:tc>
      </w:tr>
    </w:tbl>
    <w:p>
      <w:pPr>
        <w:pStyle w:val="BodyText"/>
      </w:pPr>
      <w:r>
        <w:t xml:space="preserve">Read the main line from left to right. The population is the target of the research question. The sample is the part that becomes observable. A sample statistic condenses relevant evidence, such as a sample mean, difference, proportion, or association. The final box is deliberately labeled a careful conclusion because the return from sample to population is never automatic.</w:t>
      </w:r>
    </w:p>
    <w:p>
      <w:pPr>
        <w:pStyle w:val="BodyText"/>
      </w:pPr>
      <w:r>
        <w:t xml:space="preserve">The arrow rising from the sampling distribution is the bridge supplied by probability. It represents how the statistic would vary across repeated samples under stated assumptions. A confidence interval uses this variability to show precision. A test compares the observed statistic with the sampling behavior expected under</w:t>
      </w:r>
      <w:r>
        <w:t xml:space="preserve"> </w:t>
      </w:r>
      <ns5:oMath>
        <ns5:sSub>
          <ns5:e>
            <ns5:r>
              <ns5:t>H</ns5:t>
            </ns5:r>
          </ns5:e>
          <ns5:sub>
            <ns5:r>
              <ns5:t>0</ns5:t>
            </ns5:r>
          </ns5:sub>
        </ns5:sSub>
      </ns5:oMath>
      <w:r>
        <w:t xml:space="preserve">. The figure does not imply that a large sample guarantees generalizability. Sampling method, measurement, missing data, dependence, and study design still determine which population conclusion is warranted.</w:t>
      </w:r>
    </w:p>
    <w:p>
      <w:pPr>
        <w:pStyle w:val="BodyText"/>
      </w:pPr>
      <w:r>
        <w:t xml:space="preserve">The separation between</w:t>
      </w:r>
      <w:r>
        <w:t xml:space="preserve"> </w:t>
      </w:r>
      <w:r>
        <w:t xml:space="preserve">“sample statistic”</w:t>
      </w:r>
      <w:r>
        <w:t xml:space="preserve"> </w:t>
      </w:r>
      <w:r>
        <w:t xml:space="preserve">and</w:t>
      </w:r>
      <w:r>
        <w:t xml:space="preserve"> </w:t>
      </w:r>
      <w:r>
        <w:t xml:space="preserve">“population conclusion”</w:t>
      </w:r>
      <w:r>
        <w:t xml:space="preserve"> </w:t>
      </w:r>
      <w:r>
        <w:t xml:space="preserve">is a useful pause point. Before crossing it, ask whether the standard error reflects the actual design, whether the procedure’s assumptions are plausible, and whether the wording of the conclusion matches what was tested. A result can support an association or difference without establishing a causal effect.</w:t>
      </w:r>
    </w:p>
    <w:bookmarkEnd w:id="36"/>
    <w:bookmarkStart w:id="37" w:name="interpretation-checklist-1"/>
    <w:p>
      <w:pPr>
        <w:pStyle w:val="Heading2"/>
      </w:pPr>
      <w:r>
        <w:t xml:space="preserve">Interpretation checklist</w:t>
      </w:r>
    </w:p>
    <w:p>
      <w:pPr>
        <w:pStyle w:val="FirstParagraph"/>
      </w:pPr>
      <w:r>
        <w:t xml:space="preserve">State the population, sample, parameter, statistic, and unit of analysis. Describe how cases entered the sample. Inspect the data and identify missingness or unusual observations. Match the procedure to the outcome scale and to independent, paired, or categorical data. State</w:t>
      </w:r>
      <w:r>
        <w:t xml:space="preserve"> </w:t>
      </w:r>
      <ns5:oMath>
        <ns5:sSub>
          <ns5:e>
            <ns5:r>
              <ns5:t>H</ns5:t>
            </ns5:r>
          </ns5:e>
          <ns5:sub>
            <ns5:r>
              <ns5:t>0</ns5:t>
            </ns5:r>
          </ns5:sub>
        </ns5:sSub>
      </ns5:oMath>
      <w:r>
        <w:t xml:space="preserve"> </w:t>
      </w:r>
      <w:r>
        <w:t xml:space="preserve">and</w:t>
      </w:r>
      <w:r>
        <w:t xml:space="preserve"> </w:t>
      </w:r>
      <ns5:oMath>
        <ns5:sSub>
          <ns5:e>
            <ns5:r>
              <ns5:t>H</ns5:t>
            </ns5:r>
          </ns5:e>
          <ns5:sub>
            <ns5:r>
              <ns5:t>1</ns5:t>
            </ns5:r>
          </ns5:sub>
        </ns5:sSub>
      </ns5:oMath>
      <w:r>
        <w:t xml:space="preserve"> </w:t>
      </w:r>
      <w:r>
        <w:t xml:space="preserve">in words and symbols. Report the estimate and confidence interval alongside the test statistic, degrees of freedom when applicable, p-value, and a contextual interpretation.</w:t>
      </w:r>
    </w:p>
    <w:p>
      <w:pPr>
        <w:pStyle w:val="BodyText"/>
      </w:pPr>
      <w:r>
        <w:t xml:space="preserve">Avoid converting the p-value into a probability that a hypothesis is true. Do not use statistical significance as a synonym for practical importance. Compare the size and uncertainty of the estimate with the research question. When a result is not significant, discuss its interval and precision instead of declaring that groups are equal. When several tests are conducted, recognize that the chance of at least one Type I error can increase and use a planned multiplicity approach when required.</w:t>
      </w:r>
    </w:p>
    <w:bookmarkEnd w:id="37"/>
    <w:bookmarkStart w:id="38" w:name="how-this-topic-connects"/>
    <w:p>
      <w:pPr>
        <w:pStyle w:val="Heading2"/>
      </w:pPr>
      <w:r>
        <w:t xml:space="preserve">How this topic connects</w:t>
      </w:r>
    </w:p>
    <w:p>
      <w:pPr>
        <w:pStyle w:val="FirstParagraph"/>
      </w:pPr>
      <w:r>
        <w:t xml:space="preserve">Probability supplied the sampling distributions that make confidence intervals and tests possible. The same inferential pattern now accompanies every later coefficient. A correlation has a standard error and test. A regression slope has an estimate, interval, and p-value. A partial correlation and each multiple-regression coefficient are interpreted conditionally. Analysis of variance uses an</w:t>
      </w:r>
      <w:r>
        <w:t xml:space="preserve"> </w:t>
      </w:r>
      <ns5:oMath>
        <ns5:r>
          <ns5:t>F</ns5:t>
        </ns5:r>
      </ns5:oMath>
      <w:r>
        <w:t xml:space="preserve"> </w:t>
      </w:r>
      <w:r>
        <w:t xml:space="preserve">statistic to compare model-related and residual variability.</w:t>
      </w:r>
    </w:p>
    <w:p>
      <w:pPr>
        <w:pStyle w:val="BodyText"/>
      </w:pPr>
      <w:r>
        <w:t xml:space="preserve">Inference is therefore not a separate ritual attached to the end of an analysis. It is a disciplined bridge from descriptive sample evidence to a bounded population claim. Keeping the estimate, uncertainty, design, and substantive meaning together makes that bridge trustworthy.</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topic-03-hypothesis-testing-summary-en</w:t>
      </w:r>
    </w:p>
    <w:p>
      <w:r>
        <w:br w:type="page"/>
      </w:r>
    </w:p>
    <w:p>
      <w:pPr>
        <w:pStyle w:val="Heading1"/>
      </w:pPr>
      <w:r>
        <w:t>Notes 1 of 3</w:t>
      </w:r>
    </w:p>
    <w:p>
      <w:r>
        <w:rPr>
          <w:color w:val="526A79"/>
          <w:sz w:val="18"/>
          <w:szCs w:val="18"/>
        </w:rPr>
        <w:t>Hypothesis Testing and Confidence Intervals | Topic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Hypothesis Testing and Confidence Intervals | Topic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Hypothesis Testing and Confidence Intervals | Topic 3</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8"/>
    <w:bookmarkEnd w:id="39"/>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Hypothesis Testing and Confidence Intervals</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From sample evidence to careful population conclusions</vt:lpwstr>
  </property>
  <property fmtid="{D5CDD505-2E9C-101B-9397-08002B2CF9AE}" pid="13" name="toc-title">
    <vt:lpwstr>Table of contents</vt:lpwstr>
  </property>
</Properties>
</file>