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Statistika përshkruese</w:t>
      </w:r>
    </w:p>
    <w:p>
      <w:pPr>
        <w:pStyle w:val="Subtitle"/>
      </w:pPr>
      <w:r>
        <w:t xml:space="preserve">Një udhëzues i afërt për ndryshoret, shpërndarjet dhe përmbledhjet numerike</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sq/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Hyrje në Statistikë | Tema 1</w:t>
      </w:r>
    </w:p>
    <w:bookmarkStart w:id="42" w:name="përmbledhja-e-faqes-së-kursit"/>
    <w:p>
      <w:pPr>
        <w:pStyle w:val="Heading1"/>
      </w:pPr>
      <w:r>
        <w:t xml:space="preserve">Përmbledhja e faqes së kursit</w:t>
      </w:r>
    </w:p>
    <w:p>
      <w:pPr>
        <w:pStyle w:val="FirstParagraph"/>
      </w:pPr>
      <w:r>
        <w:t xml:space="preserve">Statistika përshkruese e lidh matjen me analizën. Fillo duke përcaktuar se çfarë përfaqëson secili rast, ndryshore dhe vlerë, pastaj përdor nivelin e matjes për të zgjedhur frekuenca, përmbledhje numerike dhe grafikë të arsyetueshëm. Qendra, shpërhapja dhe forma duhen interpretuar së bashku, sepse asnjëra prej tyre nuk jep e vetme një përshkrim të plotë. Këto ide mbështesin probabilitetin, inferencën, korrelacionin, regresionin dhe çdo temë të mëvonshme të kësaj renditjeje mësimore.</w:t>
      </w:r>
    </w:p>
    <w:p>
      <w:pPr>
        <w:pBdr>
          <w:bottom w:val="single" w:sz="4" w:space="6" w:color="B8C6CF"/>
        </w:pBdr>
        <w:spacing w:before="60" w:after="100"/>
      </w:pPr>
    </w:p>
    <w:bookmarkStart w:id="24" w:name="Xffd37c2ed1a043a59c4c854b0b343c81d4ba50d"/>
    <w:p>
      <w:pPr>
        <w:pStyle w:val="Heading2"/>
      </w:pPr>
      <w:r>
        <w:t xml:space="preserve">Shënimi dhe lista e kontrollit për vendime</w:t>
      </w:r>
    </w:p>
    <w:bookmarkStart w:id="23" w:name="tbl-summary-notation"/>
    <w:p>
      <w:pPr>
        <w:pStyle w:val="TableCaption"/>
        <w:keepNext/>
        <w:keepLines/>
        <w:widowControl/>
        <w:spacing w:before="120" w:after="80"/>
        <w:jc w:val="left"/>
      </w:pPr>
      <w:r>
        <w:t xml:space="preserve">Tabela 1: Shënimi bazë që përdoret në statistikën përshkruese.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000"/>
        <w:gridCol w:w="3810"/>
        <w:gridCol w:w="3714"/>
      </w:tblGrid>
      <w:tr>
        <w:trPr>
          <w:cantSplit/>
          <w:tblHeader w:val="on"/>
        </w:trPr>
        <w:tc>
          <w:tcPr>
            <w:tcW w:w="2000" w:type="dxa"/>
            <w:shd w:fill="EAF2F6"/>
            <w:vAlign w:val="center"/>
          </w:tcPr>
          <w:p>
            <w:pPr>
              <w:pStyle w:val="Compact"/>
              <w:keepLines/>
              <w:widowControl/>
              <w:spacing w:before="0" w:after="40" w:line="240" w:lineRule="auto"/>
              <w:jc w:val="left"/>
            </w:pPr>
            <w:r>
              <w:rPr>
                <w:b/>
                <w:color w:val="183B56"/>
                <w:sz w:val="20"/>
                <w:szCs w:val="20"/>
              </w:rPr>
              <w:t xml:space="preserve">Simboli</w:t>
            </w:r>
          </w:p>
        </w:tc>
        <w:tc>
          <w:tcPr>
            <w:tcW w:w="3810" w:type="dxa"/>
            <w:shd w:fill="EAF2F6"/>
            <w:vAlign w:val="center"/>
          </w:tcPr>
          <w:p>
            <w:pPr>
              <w:pStyle w:val="Compact"/>
              <w:keepLines/>
              <w:widowControl/>
              <w:spacing w:before="0" w:after="40" w:line="240" w:lineRule="auto"/>
              <w:jc w:val="left"/>
            </w:pPr>
            <w:r>
              <w:rPr>
                <w:b/>
                <w:color w:val="183B56"/>
                <w:sz w:val="20"/>
                <w:szCs w:val="20"/>
              </w:rPr>
              <w:t xml:space="preserve">Kuptimi</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Pyetja që duhet të bësh</w:t>
            </w:r>
          </w:p>
        </w:tc>
      </w:tr>
      <w:tr>
        <w:trPr>
          <w:cantSplit/>
        </w:trPr>
        <w:tc>
          <w:tcPr>
            <w:tcW w:w="2000" w:type="dxa"/>
            <w:shd w:fill="F3F7F9"/>
            <w:vAlign w:val="top"/>
          </w:tcPr>
          <w:p>
            <w:pPr>
              <w:pStyle w:val="Compact"/>
              <w:keepLines/>
              <w:widowControl/>
              <w:spacing w:before="0" w:after="40" w:line="240" w:lineRule="auto"/>
              <w:jc w:val="center"/>
            </w:pPr>
            <ns5:oMath>
              <ns5:sSub>
                <ns5:e>
                  <ns5:r>
                    <ns5:t>x</ns5:t>
                  </ns5:r>
                </ns5:e>
                <ns5:sub>
                  <ns5:r>
                    <ns5:t>i</ns5:t>
                  </ns5:r>
                </ns5:sub>
              </ns5:sSub>
            </ns5:oMath>
          </w:p>
        </w:tc>
        <w:tc>
          <w:tcPr>
            <w:tcW w:w="3810" w:type="dxa"/>
            <w:shd w:fill="F3F7F9"/>
            <w:vAlign w:val="top"/>
          </w:tcPr>
          <w:p>
            <w:pPr>
              <w:pStyle w:val="Compact"/>
              <w:keepLines/>
              <w:widowControl/>
              <w:spacing w:before="0" w:after="40" w:line="240" w:lineRule="auto"/>
              <w:jc w:val="center"/>
            </w:pPr>
            <w:r>
              <w:rPr>
                <w:sz w:val="20"/>
                <w:szCs w:val="20"/>
              </w:rPr>
              <w:t xml:space="preserve">Vlera e vrojtimit</w:t>
            </w:r>
            <w:r>
              <w:rPr>
                <w:sz w:val="20"/>
                <w:szCs w:val="20"/>
              </w:rPr>
              <w:t xml:space="preserve"> </w:t>
            </w:r>
            <ns5:oMath>
              <ns5:r>
                <ns5:t>i</ns5:t>
              </ns5:r>
            </ns5:oMath>
          </w:p>
        </w:tc>
        <w:tc>
          <w:tcPr>
            <w:tcW w:w="3714" w:type="dxa"/>
            <w:shd w:fill="F3F7F9"/>
            <w:vAlign w:val="top"/>
          </w:tcPr>
          <w:p>
            <w:pPr>
              <w:pStyle w:val="Compact"/>
              <w:keepLines/>
              <w:widowControl/>
              <w:spacing w:before="0" w:after="40" w:line="240" w:lineRule="auto"/>
              <w:jc w:val="center"/>
            </w:pPr>
            <w:r>
              <w:rPr>
                <w:sz w:val="20"/>
                <w:szCs w:val="20"/>
              </w:rPr>
              <w:t xml:space="preserve">Çfarë përfaqëson një vlerë e regjistruar?</w:t>
            </w:r>
          </w:p>
        </w:tc>
      </w:tr>
      <w:tr>
        <w:trPr>
          <w:cantSplit/>
        </w:trPr>
        <w:tc>
          <w:tcPr>
            <w:tcW w:w="2000" w:type="dxa"/>
            <w:shd w:fill="FFFFFF"/>
            <w:vAlign w:val="top"/>
          </w:tcPr>
          <w:p>
            <w:pPr>
              <w:pStyle w:val="Compact"/>
              <w:keepLines/>
              <w:widowControl/>
              <w:spacing w:before="0" w:after="40" w:line="240" w:lineRule="auto"/>
              <w:jc w:val="center"/>
            </w:pPr>
            <ns5:oMath>
              <ns5:r>
                <ns5:t>n</ns5:t>
              </ns5:r>
            </ns5:oMath>
            <w:r>
              <w:rPr>
                <w:sz w:val="20"/>
                <w:szCs w:val="20"/>
              </w:rPr>
              <w:t xml:space="preserve"> </w:t>
            </w:r>
            <w:r>
              <w:rPr>
                <w:sz w:val="20"/>
                <w:szCs w:val="20"/>
              </w:rPr>
              <w:t xml:space="preserve">dhe</w:t>
            </w:r>
            <w:r>
              <w:rPr>
                <w:sz w:val="20"/>
                <w:szCs w:val="20"/>
              </w:rPr>
              <w:t xml:space="preserve"> </w:t>
            </w:r>
            <ns5:oMath>
              <ns5:r>
                <ns5:t>N</ns5:t>
              </ns5:r>
            </ns5:oMath>
          </w:p>
        </w:tc>
        <w:tc>
          <w:tcPr>
            <w:tcW w:w="3810" w:type="dxa"/>
            <w:shd w:fill="FFFFFF"/>
            <w:vAlign w:val="top"/>
          </w:tcPr>
          <w:p>
            <w:pPr>
              <w:pStyle w:val="Compact"/>
              <w:keepLines/>
              <w:widowControl/>
              <w:spacing w:before="0" w:after="40" w:line="240" w:lineRule="auto"/>
              <w:jc w:val="center"/>
            </w:pPr>
            <w:r>
              <w:rPr>
                <w:sz w:val="20"/>
                <w:szCs w:val="20"/>
              </w:rPr>
              <w:t xml:space="preserve">Madhësia e kampionit dhe madhësia e popullatës</w:t>
            </w:r>
          </w:p>
        </w:tc>
        <w:tc>
          <w:tcPr>
            <w:tcW w:w="3714" w:type="dxa"/>
            <w:shd w:fill="FFFFFF"/>
            <w:vAlign w:val="top"/>
          </w:tcPr>
          <w:p>
            <w:pPr>
              <w:pStyle w:val="Compact"/>
              <w:keepLines/>
              <w:widowControl/>
              <w:spacing w:before="0" w:after="40" w:line="240" w:lineRule="auto"/>
              <w:jc w:val="center"/>
            </w:pPr>
            <w:r>
              <w:rPr>
                <w:sz w:val="20"/>
                <w:szCs w:val="20"/>
              </w:rPr>
              <w:t xml:space="preserve">A po përshkruaj një kampion apo popullatën e plotë?</w:t>
            </w:r>
          </w:p>
        </w:tc>
      </w:tr>
      <w:tr>
        <w:trPr>
          <w:cantSplit/>
        </w:trPr>
        <w:tc>
          <w:tcPr>
            <w:tcW w:w="2000" w:type="dxa"/>
            <w:shd w:fill="F3F7F9"/>
            <w:vAlign w:val="top"/>
          </w:tcPr>
          <w:p>
            <w:pPr>
              <w:pStyle w:val="Compact"/>
              <w:keepLines/>
              <w:widowControl/>
              <w:spacing w:before="0" w:after="40" w:line="240" w:lineRule="auto"/>
              <w:jc w:val="center"/>
            </w:pPr>
            <ns5:oMath>
              <ns5:acc>
                <ns5:accPr>
                  <ns5:chr ns5:val="‾"/>
                </ns5:accPr>
                <ns5:e>
                  <ns5:r>
                    <ns5:t>x</ns5:t>
                  </ns5:r>
                </ns5:e>
              </ns5:acc>
            </ns5:oMath>
            <w:r>
              <w:rPr>
                <w:sz w:val="20"/>
                <w:szCs w:val="20"/>
              </w:rPr>
              <w:t xml:space="preserve"> </w:t>
            </w:r>
            <w:r>
              <w:rPr>
                <w:sz w:val="20"/>
                <w:szCs w:val="20"/>
              </w:rPr>
              <w:t xml:space="preserve">dhe</w:t>
            </w:r>
            <w:r>
              <w:rPr>
                <w:sz w:val="20"/>
                <w:szCs w:val="20"/>
              </w:rPr>
              <w:t xml:space="preserve"> </w:t>
            </w:r>
            <ns5:oMath>
              <ns5:r>
                <ns5:t>μ</ns5:t>
              </ns5:r>
            </ns5:oMath>
          </w:p>
        </w:tc>
        <w:tc>
          <w:tcPr>
            <w:tcW w:w="3810" w:type="dxa"/>
            <w:shd w:fill="F3F7F9"/>
            <w:vAlign w:val="top"/>
          </w:tcPr>
          <w:p>
            <w:pPr>
              <w:pStyle w:val="Compact"/>
              <w:keepLines/>
              <w:widowControl/>
              <w:spacing w:before="0" w:after="40" w:line="240" w:lineRule="auto"/>
              <w:jc w:val="center"/>
            </w:pPr>
            <w:r>
              <w:rPr>
                <w:sz w:val="20"/>
                <w:szCs w:val="20"/>
              </w:rPr>
              <w:t xml:space="preserve">Mesatarja e kampionit dhe mesatarja e popullatës</w:t>
            </w:r>
          </w:p>
        </w:tc>
        <w:tc>
          <w:tcPr>
            <w:tcW w:w="3714" w:type="dxa"/>
            <w:shd w:fill="F3F7F9"/>
            <w:vAlign w:val="top"/>
          </w:tcPr>
          <w:p>
            <w:pPr>
              <w:pStyle w:val="Compact"/>
              <w:keepLines/>
              <w:widowControl/>
              <w:spacing w:before="0" w:after="40" w:line="240" w:lineRule="auto"/>
              <w:jc w:val="center"/>
            </w:pPr>
            <w:r>
              <w:rPr>
                <w:sz w:val="20"/>
                <w:szCs w:val="20"/>
              </w:rPr>
              <w:t xml:space="preserve">A përputhet simboli me objektivin?</w:t>
            </w:r>
          </w:p>
        </w:tc>
      </w:tr>
      <w:tr>
        <w:trPr>
          <w:cantSplit/>
        </w:trPr>
        <w:tc>
          <w:tcPr>
            <w:tcW w:w="2000" w:type="dxa"/>
            <w:shd w:fill="FFFFFF"/>
            <w:vAlign w:val="top"/>
          </w:tcPr>
          <w:p>
            <w:pPr>
              <w:pStyle w:val="Compact"/>
              <w:keepLines/>
              <w:widowControl/>
              <w:spacing w:before="0" w:after="40" w:line="240" w:lineRule="auto"/>
              <w:jc w:val="center"/>
            </w:pPr>
            <ns5:oMath>
              <ns5:sSup>
                <ns5:e>
                  <ns5:r>
                    <ns5:t>s</ns5:t>
                  </ns5:r>
                </ns5:e>
                <ns5:sup>
                  <ns5:r>
                    <ns5:t>2</ns5:t>
                  </ns5:r>
                </ns5:sup>
              </ns5:sSup>
            </ns5:oMath>
            <w:r>
              <w:rPr>
                <w:sz w:val="20"/>
                <w:szCs w:val="20"/>
              </w:rPr>
              <w:t xml:space="preserve"> </w:t>
            </w:r>
            <w:r>
              <w:rPr>
                <w:sz w:val="20"/>
                <w:szCs w:val="20"/>
              </w:rPr>
              <w:t xml:space="preserve">dhe</w:t>
            </w:r>
            <w:r>
              <w:rPr>
                <w:sz w:val="20"/>
                <w:szCs w:val="20"/>
              </w:rPr>
              <w:t xml:space="preserve"> </w:t>
            </w:r>
            <ns5:oMath>
              <ns5:sSup>
                <ns5:e>
                  <ns5:r>
                    <ns5:t>σ</ns5:t>
                  </ns5:r>
                </ns5:e>
                <ns5:sup>
                  <ns5:r>
                    <ns5:t>2</ns5:t>
                  </ns5:r>
                </ns5:sup>
              </ns5:sSup>
            </ns5:oMath>
          </w:p>
        </w:tc>
        <w:tc>
          <w:tcPr>
            <w:tcW w:w="3810" w:type="dxa"/>
            <w:shd w:fill="FFFFFF"/>
            <w:vAlign w:val="top"/>
          </w:tcPr>
          <w:p>
            <w:pPr>
              <w:pStyle w:val="Compact"/>
              <w:keepLines/>
              <w:widowControl/>
              <w:spacing w:before="0" w:after="40" w:line="240" w:lineRule="auto"/>
              <w:jc w:val="center"/>
            </w:pPr>
            <w:r>
              <w:rPr>
                <w:sz w:val="20"/>
                <w:szCs w:val="20"/>
              </w:rPr>
              <w:t xml:space="preserve">Varianca e kampionit dhe varianca e popullatës</w:t>
            </w:r>
          </w:p>
        </w:tc>
        <w:tc>
          <w:tcPr>
            <w:tcW w:w="3714" w:type="dxa"/>
            <w:shd w:fill="FFFFFF"/>
            <w:vAlign w:val="top"/>
          </w:tcPr>
          <w:p>
            <w:pPr>
              <w:pStyle w:val="Compact"/>
              <w:keepLines/>
              <w:widowControl/>
              <w:spacing w:before="0" w:after="40" w:line="240" w:lineRule="auto"/>
              <w:jc w:val="center"/>
            </w:pPr>
            <w:r>
              <w:rPr>
                <w:sz w:val="20"/>
                <w:szCs w:val="20"/>
              </w:rPr>
              <w:t xml:space="preserve">A përputhet emëruesi me objektivin?</w:t>
            </w:r>
          </w:p>
        </w:tc>
      </w:tr>
      <w:tr>
        <w:trPr>
          <w:cantSplit/>
        </w:trPr>
        <w:tc>
          <w:tcPr>
            <w:tcW w:w="2000" w:type="dxa"/>
            <w:shd w:fill="F3F7F9"/>
            <w:vAlign w:val="top"/>
          </w:tcPr>
          <w:p>
            <w:pPr>
              <w:pStyle w:val="Compact"/>
              <w:keepLines/>
              <w:widowControl/>
              <w:spacing w:before="0" w:after="40" w:line="240" w:lineRule="auto"/>
              <w:jc w:val="center"/>
            </w:pPr>
            <ns5:oMath>
              <ns5:r>
                <ns5:t>s</ns5:t>
              </ns5:r>
            </ns5:oMath>
            <w:r>
              <w:rPr>
                <w:sz w:val="20"/>
                <w:szCs w:val="20"/>
              </w:rPr>
              <w:t xml:space="preserve"> </w:t>
            </w:r>
            <w:r>
              <w:rPr>
                <w:sz w:val="20"/>
                <w:szCs w:val="20"/>
              </w:rPr>
              <w:t xml:space="preserve">dhe</w:t>
            </w:r>
            <w:r>
              <w:rPr>
                <w:sz w:val="20"/>
                <w:szCs w:val="20"/>
              </w:rPr>
              <w:t xml:space="preserve"> </w:t>
            </w:r>
            <ns5:oMath>
              <ns5:r>
                <ns5:t>σ</ns5:t>
              </ns5:r>
            </ns5:oMath>
          </w:p>
        </w:tc>
        <w:tc>
          <w:tcPr>
            <w:tcW w:w="3810" w:type="dxa"/>
            <w:shd w:fill="F3F7F9"/>
            <w:vAlign w:val="top"/>
          </w:tcPr>
          <w:p>
            <w:pPr>
              <w:pStyle w:val="Compact"/>
              <w:keepLines/>
              <w:widowControl/>
              <w:spacing w:before="0" w:after="40" w:line="240" w:lineRule="auto"/>
              <w:jc w:val="center"/>
            </w:pPr>
            <w:r>
              <w:rPr>
                <w:sz w:val="20"/>
                <w:szCs w:val="20"/>
              </w:rPr>
              <w:t xml:space="preserve">SD-ja e kampionit dhe SD-ja e popullatës</w:t>
            </w:r>
          </w:p>
        </w:tc>
        <w:tc>
          <w:tcPr>
            <w:tcW w:w="3714" w:type="dxa"/>
            <w:shd w:fill="F3F7F9"/>
            <w:vAlign w:val="top"/>
          </w:tcPr>
          <w:p>
            <w:pPr>
              <w:pStyle w:val="Compact"/>
              <w:keepLines/>
              <w:widowControl/>
              <w:spacing w:before="0" w:after="40" w:line="240" w:lineRule="auto"/>
              <w:jc w:val="center"/>
            </w:pPr>
            <w:r>
              <w:rPr>
                <w:sz w:val="20"/>
                <w:szCs w:val="20"/>
              </w:rPr>
              <w:t xml:space="preserve">Cila është njësia origjinale e matjes?</w:t>
            </w:r>
          </w:p>
        </w:tc>
      </w:tr>
      <w:tr>
        <w:trPr>
          <w:cantSplit/>
        </w:trPr>
        <w:tc>
          <w:tcPr>
            <w:tcW w:w="2000" w:type="dxa"/>
            <w:shd w:fill="FFFFFF"/>
            <w:vAlign w:val="top"/>
          </w:tcPr>
          <w:p>
            <w:pPr>
              <w:pStyle w:val="Compact"/>
              <w:keepLines/>
              <w:widowControl/>
              <w:spacing w:before="0" w:after="40" w:line="240" w:lineRule="auto"/>
              <w:jc w:val="center"/>
            </w:pPr>
            <ns5:oMath>
              <ns5:r>
                <ns5:rPr>
                  <ns5:sty ns5:val="p"/>
                </ns5:rPr>
                <ns5:t>∑</ns5:t>
              </ns5:r>
            </ns5:oMath>
          </w:p>
        </w:tc>
        <w:tc>
          <w:tcPr>
            <w:tcW w:w="3810" w:type="dxa"/>
            <w:shd w:fill="FFFFFF"/>
            <w:vAlign w:val="top"/>
          </w:tcPr>
          <w:p>
            <w:pPr>
              <w:pStyle w:val="Compact"/>
              <w:keepLines/>
              <w:widowControl/>
              <w:spacing w:before="0" w:after="40" w:line="240" w:lineRule="auto"/>
              <w:jc w:val="center"/>
            </w:pPr>
            <w:r>
              <w:rPr>
                <w:sz w:val="20"/>
                <w:szCs w:val="20"/>
              </w:rPr>
              <w:t xml:space="preserve">Mblidh shprehjen e dhënë nëpër shtrirjen e indeksit të saj</w:t>
            </w:r>
          </w:p>
        </w:tc>
        <w:tc>
          <w:tcPr>
            <w:tcW w:w="3714" w:type="dxa"/>
            <w:shd w:fill="FFFFFF"/>
            <w:vAlign w:val="top"/>
          </w:tcPr>
          <w:p>
            <w:pPr>
              <w:pStyle w:val="Compact"/>
              <w:keepLines/>
              <w:widowControl/>
              <w:spacing w:before="0" w:after="40" w:line="240" w:lineRule="auto"/>
              <w:jc w:val="center"/>
            </w:pPr>
            <w:r>
              <w:rPr>
                <w:sz w:val="20"/>
                <w:szCs w:val="20"/>
              </w:rPr>
              <w:t xml:space="preserve">Cili është termi i shumës dhe cilët janë kufijtë?</w:t>
            </w:r>
          </w:p>
        </w:tc>
      </w:tr>
    </w:tbl>
    <w:bookmarkEnd w:id="23"/>
    <w:p/>
    <w:p>
      <w:pPr>
        <w:pStyle w:val="BodyText"/>
      </w:pPr>
      <w:r>
        <w:t xml:space="preserve">Përpara se të raportosh një rezultat, identifiko rastet dhe ndryshoret, shqyrto vlerat që mungojnë ose janë të pamundura, përcakto nivelin e matjes, shqyrto shpërndarjen, zgjidh një qendër dhe shpërhapje të përputhshme dhe thuaj çfarë nuk mund të vërtetojnë përmbledhjet për popullatën ose shkakësinë.</w:t>
      </w:r>
    </w:p>
    <w:p>
      <w:pPr>
        <w:pBdr>
          <w:bottom w:val="single" w:sz="4" w:space="6" w:color="B8C6CF"/>
        </w:pBdr>
        <w:spacing w:before="60" w:after="100"/>
      </w:pPr>
    </w:p>
    <w:bookmarkEnd w:id="24"/>
    <w:bookmarkStart w:id="26" w:name="nivelet-e-matjes"/>
    <w:p>
      <w:pPr>
        <w:pStyle w:val="Heading2"/>
      </w:pPr>
      <w:r>
        <w:t xml:space="preserve">Nivelet e matjes</w:t>
      </w:r>
    </w:p>
    <w:p>
      <w:pPr>
        <w:pStyle w:val="FirstParagraph"/>
      </w:pPr>
      <w:r>
        <w:t xml:space="preserve">Pesë nivele të shkallës përcaktojnë se cilat veprime dhe përmbledhje janë të vlefshme. Çdo nivel i shton veti nivelit mbi të.</w:t>
      </w:r>
    </w:p>
    <w:bookmarkStart w:id="25" w:name="tbl-summary-measurement-levels"/>
    <w:p>
      <w:pPr>
        <w:pStyle w:val="TableCaption"/>
        <w:keepNext/>
        <w:keepLines/>
        <w:widowControl/>
        <w:spacing w:before="120" w:after="80"/>
        <w:jc w:val="left"/>
      </w:pPr>
      <w:r>
        <w:t xml:space="preserve">Tabela 2: Vetitë e matjes, transformimet e lejueshme dhe përmbledhjet kryesore.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1524"/>
        <w:gridCol w:w="2667"/>
        <w:gridCol w:w="2476"/>
        <w:gridCol w:w="2857"/>
      </w:tblGrid>
      <w:tr>
        <w:trPr>
          <w:cantSplit/>
          <w:tblHeader w:val="on"/>
        </w:trPr>
        <w:tc>
          <w:tcPr>
            <w:tcW w:w="1524" w:type="dxa"/>
            <w:shd w:fill="EAF2F6"/>
            <w:vAlign w:val="center"/>
          </w:tcPr>
          <w:p>
            <w:pPr>
              <w:pStyle w:val="Compact"/>
              <w:keepLines/>
              <w:widowControl/>
              <w:spacing w:before="0" w:after="40" w:line="240" w:lineRule="auto"/>
              <w:jc w:val="left"/>
            </w:pPr>
            <w:r>
              <w:rPr>
                <w:b/>
                <w:color w:val="183B56"/>
                <w:sz w:val="20"/>
                <w:szCs w:val="20"/>
              </w:rPr>
              <w:t xml:space="preserve">Shkalla</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Vetia përcaktuese</w:t>
            </w:r>
          </w:p>
        </w:tc>
        <w:tc>
          <w:tcPr>
            <w:tcW w:w="2476" w:type="dxa"/>
            <w:shd w:fill="EAF2F6"/>
            <w:vAlign w:val="center"/>
          </w:tcPr>
          <w:p>
            <w:pPr>
              <w:pStyle w:val="Compact"/>
              <w:keepLines/>
              <w:widowControl/>
              <w:spacing w:before="0" w:after="40" w:line="240" w:lineRule="auto"/>
              <w:jc w:val="left"/>
            </w:pPr>
            <w:r>
              <w:rPr>
                <w:b/>
                <w:color w:val="183B56"/>
                <w:sz w:val="20"/>
                <w:szCs w:val="20"/>
              </w:rPr>
              <w:t xml:space="preserve">Rikodimi i lejueshëm</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Përmbledhjet kryesore</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Nominale</w:t>
            </w:r>
          </w:p>
        </w:tc>
        <w:tc>
          <w:tcPr>
            <w:tcW w:w="2667" w:type="dxa"/>
            <w:shd w:fill="F3F7F9"/>
            <w:vAlign w:val="top"/>
          </w:tcPr>
          <w:p>
            <w:pPr>
              <w:pStyle w:val="Compact"/>
              <w:keepLines/>
              <w:widowControl/>
              <w:spacing w:before="0" w:after="40" w:line="240" w:lineRule="auto"/>
              <w:jc w:val="center"/>
            </w:pPr>
            <w:r>
              <w:rPr>
                <w:sz w:val="20"/>
                <w:szCs w:val="20"/>
              </w:rPr>
              <w:t xml:space="preserve">Kategori pa rend</w:t>
            </w:r>
          </w:p>
        </w:tc>
        <w:tc>
          <w:tcPr>
            <w:tcW w:w="2476" w:type="dxa"/>
            <w:shd w:fill="F3F7F9"/>
            <w:vAlign w:val="top"/>
          </w:tcPr>
          <w:p>
            <w:pPr>
              <w:pStyle w:val="Compact"/>
              <w:keepLines/>
              <w:widowControl/>
              <w:spacing w:before="0" w:after="40" w:line="240" w:lineRule="auto"/>
              <w:jc w:val="center"/>
            </w:pPr>
            <w:r>
              <w:rPr>
                <w:sz w:val="20"/>
                <w:szCs w:val="20"/>
              </w:rPr>
              <w:t xml:space="preserve">Rietiketim një-për-një</w:t>
            </w:r>
          </w:p>
        </w:tc>
        <w:tc>
          <w:tcPr>
            <w:tcW w:w="2857" w:type="dxa"/>
            <w:shd w:fill="F3F7F9"/>
            <w:vAlign w:val="top"/>
          </w:tcPr>
          <w:p>
            <w:pPr>
              <w:pStyle w:val="Compact"/>
              <w:keepLines/>
              <w:widowControl/>
              <w:spacing w:before="0" w:after="40" w:line="240" w:lineRule="auto"/>
              <w:jc w:val="center"/>
            </w:pPr>
            <w:r>
              <w:rPr>
                <w:sz w:val="20"/>
                <w:szCs w:val="20"/>
              </w:rPr>
              <w:t xml:space="preserve">Numërime, përpjesëtime, modë</w:t>
            </w:r>
          </w:p>
        </w:tc>
      </w:tr>
      <w:tr>
        <w:trPr>
          <w:cantSplit/>
        </w:trPr>
        <w:tc>
          <w:tcPr>
            <w:tcW w:w="1524" w:type="dxa"/>
            <w:shd w:fill="FFFFFF"/>
            <w:vAlign w:val="top"/>
          </w:tcPr>
          <w:p>
            <w:pPr>
              <w:pStyle w:val="Compact"/>
              <w:keepLines/>
              <w:widowControl/>
              <w:spacing w:before="0" w:after="40" w:line="240" w:lineRule="auto"/>
              <w:jc w:val="center"/>
            </w:pPr>
            <w:r>
              <w:rPr>
                <w:sz w:val="20"/>
                <w:szCs w:val="20"/>
              </w:rPr>
              <w:t xml:space="preserve">Rendore</w:t>
            </w:r>
          </w:p>
        </w:tc>
        <w:tc>
          <w:tcPr>
            <w:tcW w:w="2667" w:type="dxa"/>
            <w:shd w:fill="FFFFFF"/>
            <w:vAlign w:val="top"/>
          </w:tcPr>
          <w:p>
            <w:pPr>
              <w:pStyle w:val="Compact"/>
              <w:keepLines/>
              <w:widowControl/>
              <w:spacing w:before="0" w:after="40" w:line="240" w:lineRule="auto"/>
              <w:jc w:val="center"/>
            </w:pPr>
            <w:r>
              <w:rPr>
                <w:sz w:val="20"/>
                <w:szCs w:val="20"/>
              </w:rPr>
              <w:t xml:space="preserve">Kategori të renditura, largësi të pabarabarta</w:t>
            </w:r>
          </w:p>
        </w:tc>
        <w:tc>
          <w:tcPr>
            <w:tcW w:w="2476" w:type="dxa"/>
            <w:shd w:fill="FFFFFF"/>
            <w:vAlign w:val="top"/>
          </w:tcPr>
          <w:p>
            <w:pPr>
              <w:pStyle w:val="Compact"/>
              <w:keepLines/>
              <w:widowControl/>
              <w:spacing w:before="0" w:after="40" w:line="240" w:lineRule="auto"/>
              <w:jc w:val="center"/>
            </w:pPr>
            <w:r>
              <w:rPr>
                <w:sz w:val="20"/>
                <w:szCs w:val="20"/>
              </w:rPr>
              <w:t xml:space="preserve">Rikodim rreptësisht rritës</w:t>
            </w:r>
          </w:p>
        </w:tc>
        <w:tc>
          <w:tcPr>
            <w:tcW w:w="2857" w:type="dxa"/>
            <w:shd w:fill="FFFFFF"/>
            <w:vAlign w:val="top"/>
          </w:tcPr>
          <w:p>
            <w:pPr>
              <w:pStyle w:val="Compact"/>
              <w:keepLines/>
              <w:widowControl/>
              <w:spacing w:before="0" w:after="40" w:line="240" w:lineRule="auto"/>
              <w:jc w:val="center"/>
            </w:pPr>
            <w:r>
              <w:rPr>
                <w:sz w:val="20"/>
                <w:szCs w:val="20"/>
              </w:rPr>
              <w:t xml:space="preserve">Numërime, përpjesëtime, medianë, percentile, modë</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Intervalore</w:t>
            </w:r>
          </w:p>
        </w:tc>
        <w:tc>
          <w:tcPr>
            <w:tcW w:w="2667" w:type="dxa"/>
            <w:shd w:fill="F3F7F9"/>
            <w:vAlign w:val="top"/>
          </w:tcPr>
          <w:p>
            <w:pPr>
              <w:pStyle w:val="Compact"/>
              <w:keepLines/>
              <w:widowControl/>
              <w:spacing w:before="0" w:after="40" w:line="240" w:lineRule="auto"/>
              <w:jc w:val="center"/>
            </w:pPr>
            <w:r>
              <w:rPr>
                <w:sz w:val="20"/>
                <w:szCs w:val="20"/>
              </w:rPr>
              <w:t xml:space="preserve">Largësi të barabarta, zero e përcaktuar me marrëveshje</w:t>
            </w:r>
          </w:p>
        </w:tc>
        <w:tc>
          <w:tcPr>
            <w:tcW w:w="2476" w:type="dxa"/>
            <w:shd w:fill="F3F7F9"/>
            <w:vAlign w:val="top"/>
          </w:tcPr>
          <w:p>
            <w:pPr>
              <w:pStyle w:val="Compact"/>
              <w:keepLines/>
              <w:widowControl/>
              <w:spacing w:before="0" w:after="40" w:line="240" w:lineRule="auto"/>
              <w:jc w:val="center"/>
            </w:pPr>
            <ns5:oMath>
              <ns5:r>
                <ns5:t>y</ns5:t>
              </ns5:r>
              <ns5:r>
                <ns5:rPr>
                  <ns5:sty ns5:val="p"/>
                </ns5:rPr>
                <ns5:t>=</ns5:t>
              </ns5:r>
              <ns5:r>
                <ns5:t>a</ns5:t>
              </ns5:r>
              <ns5:r>
                <ns5:rPr>
                  <ns5:sty ns5:val="p"/>
                </ns5:rPr>
                <ns5:t>+</ns5:t>
              </ns5:r>
              <ns5:r>
                <ns5:t>b</ns5:t>
              </ns5:r>
              <ns5:r>
                <ns5:t>x</ns5:t>
              </ns5:r>
            </ns5:oMath>
            <w:r>
              <w:rPr>
                <w:sz w:val="20"/>
                <w:szCs w:val="20"/>
              </w:rPr>
              <w:t xml:space="preserve">,</w:t>
            </w:r>
            <w:r>
              <w:rPr>
                <w:sz w:val="20"/>
                <w:szCs w:val="20"/>
              </w:rPr>
              <w:t xml:space="preserve"> </w:t>
            </w:r>
            <ns5:oMath>
              <ns5:r>
                <ns5:t>b</ns5:t>
              </ns5:r>
              <ns5:r>
                <ns5:rPr>
                  <ns5:sty ns5:val="p"/>
                </ns5:rPr>
                <ns5:t>&gt;</ns5:t>
              </ns5:r>
              <ns5:r>
                <ns5:t>0</ns5:t>
              </ns5:r>
            </ns5:oMath>
          </w:p>
        </w:tc>
        <w:tc>
          <w:tcPr>
            <w:tcW w:w="2857" w:type="dxa"/>
            <w:shd w:fill="F3F7F9"/>
            <w:vAlign w:val="top"/>
          </w:tcPr>
          <w:p>
            <w:pPr>
              <w:pStyle w:val="Compact"/>
              <w:keepLines/>
              <w:widowControl/>
              <w:spacing w:before="0" w:after="40" w:line="240" w:lineRule="auto"/>
              <w:jc w:val="center"/>
            </w:pPr>
            <w:r>
              <w:rPr>
                <w:sz w:val="20"/>
                <w:szCs w:val="20"/>
              </w:rPr>
              <w:t xml:space="preserve">Mesatare, SD, diferenca, korrelacion</w:t>
            </w:r>
          </w:p>
        </w:tc>
      </w:tr>
      <w:tr>
        <w:trPr>
          <w:cantSplit/>
        </w:trPr>
        <w:tc>
          <w:tcPr>
            <w:tcW w:w="1524" w:type="dxa"/>
            <w:shd w:fill="FFFFFF"/>
            <w:vAlign w:val="top"/>
          </w:tcPr>
          <w:p>
            <w:pPr>
              <w:pStyle w:val="Compact"/>
              <w:keepLines/>
              <w:widowControl/>
              <w:spacing w:before="0" w:after="40" w:line="240" w:lineRule="auto"/>
              <w:jc w:val="center"/>
            </w:pPr>
            <w:r>
              <w:rPr>
                <w:sz w:val="20"/>
                <w:szCs w:val="20"/>
              </w:rPr>
              <w:t xml:space="preserve">E raportit</w:t>
            </w:r>
          </w:p>
        </w:tc>
        <w:tc>
          <w:tcPr>
            <w:tcW w:w="2667" w:type="dxa"/>
            <w:shd w:fill="FFFFFF"/>
            <w:vAlign w:val="top"/>
          </w:tcPr>
          <w:p>
            <w:pPr>
              <w:pStyle w:val="Compact"/>
              <w:keepLines/>
              <w:widowControl/>
              <w:spacing w:before="0" w:after="40" w:line="240" w:lineRule="auto"/>
              <w:jc w:val="center"/>
            </w:pPr>
            <w:r>
              <w:rPr>
                <w:sz w:val="20"/>
                <w:szCs w:val="20"/>
              </w:rPr>
              <w:t xml:space="preserve">Largësi të barabarta, zero e vërtetë</w:t>
            </w:r>
          </w:p>
        </w:tc>
        <w:tc>
          <w:tcPr>
            <w:tcW w:w="2476" w:type="dxa"/>
            <w:shd w:fill="FFFFFF"/>
            <w:vAlign w:val="top"/>
          </w:tcPr>
          <w:p>
            <w:pPr>
              <w:pStyle w:val="Compact"/>
              <w:keepLines/>
              <w:widowControl/>
              <w:spacing w:before="0" w:after="40" w:line="240" w:lineRule="auto"/>
              <w:jc w:val="center"/>
            </w:pPr>
            <ns5:oMath>
              <ns5:r>
                <ns5:t>y</ns5:t>
              </ns5:r>
              <ns5:r>
                <ns5:rPr>
                  <ns5:sty ns5:val="p"/>
                </ns5:rPr>
                <ns5:t>=</ns5:t>
              </ns5:r>
              <ns5:r>
                <ns5:t>b</ns5:t>
              </ns5:r>
              <ns5:r>
                <ns5:t>x</ns5:t>
              </ns5:r>
            </ns5:oMath>
            <w:r>
              <w:rPr>
                <w:sz w:val="20"/>
                <w:szCs w:val="20"/>
              </w:rPr>
              <w:t xml:space="preserve">,</w:t>
            </w:r>
            <w:r>
              <w:rPr>
                <w:sz w:val="20"/>
                <w:szCs w:val="20"/>
              </w:rPr>
              <w:t xml:space="preserve"> </w:t>
            </w:r>
            <ns5:oMath>
              <ns5:r>
                <ns5:t>b</ns5:t>
              </ns5:r>
              <ns5:r>
                <ns5:rPr>
                  <ns5:sty ns5:val="p"/>
                </ns5:rPr>
                <ns5:t>&gt;</ns5:t>
              </ns5:r>
              <ns5:r>
                <ns5:t>0</ns5:t>
              </ns5:r>
            </ns5:oMath>
          </w:p>
        </w:tc>
        <w:tc>
          <w:tcPr>
            <w:tcW w:w="2857" w:type="dxa"/>
            <w:shd w:fill="FFFFFF"/>
            <w:vAlign w:val="top"/>
          </w:tcPr>
          <w:p>
            <w:pPr>
              <w:pStyle w:val="Compact"/>
              <w:keepLines/>
              <w:widowControl/>
              <w:spacing w:before="0" w:after="40" w:line="240" w:lineRule="auto"/>
              <w:jc w:val="center"/>
            </w:pPr>
            <w:r>
              <w:rPr>
                <w:sz w:val="20"/>
                <w:szCs w:val="20"/>
              </w:rPr>
              <w:t xml:space="preserve">Përmbledhjet intervalore dhe raporte me kuptim</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Absolute</w:t>
            </w:r>
          </w:p>
        </w:tc>
        <w:tc>
          <w:tcPr>
            <w:tcW w:w="2667" w:type="dxa"/>
            <w:shd w:fill="F3F7F9"/>
            <w:vAlign w:val="top"/>
          </w:tcPr>
          <w:p>
            <w:pPr>
              <w:pStyle w:val="Compact"/>
              <w:keepLines/>
              <w:widowControl/>
              <w:spacing w:before="0" w:after="40" w:line="240" w:lineRule="auto"/>
              <w:jc w:val="center"/>
            </w:pPr>
            <w:r>
              <w:rPr>
                <w:sz w:val="20"/>
                <w:szCs w:val="20"/>
              </w:rPr>
              <w:t xml:space="preserve">Zero e vërtetë dhe njësi natyrore e pandryshueshme</w:t>
            </w:r>
          </w:p>
        </w:tc>
        <w:tc>
          <w:tcPr>
            <w:tcW w:w="2476" w:type="dxa"/>
            <w:shd w:fill="F3F7F9"/>
            <w:vAlign w:val="top"/>
          </w:tcPr>
          <w:p>
            <w:pPr>
              <w:pStyle w:val="Compact"/>
              <w:keepLines/>
              <w:widowControl/>
              <w:spacing w:before="0" w:after="40" w:line="240" w:lineRule="auto"/>
              <w:jc w:val="center"/>
            </w:pPr>
            <ns5:oMath>
              <ns5:r>
                <ns5:t>y</ns5:t>
              </ns5:r>
              <ns5:r>
                <ns5:rPr>
                  <ns5:sty ns5:val="p"/>
                </ns5:rPr>
                <ns5:t>=</ns5:t>
              </ns5:r>
              <ns5:r>
                <ns5:t>x</ns5:t>
              </ns5:r>
            </ns5:oMath>
          </w:p>
        </w:tc>
        <w:tc>
          <w:tcPr>
            <w:tcW w:w="2857" w:type="dxa"/>
            <w:shd w:fill="F3F7F9"/>
            <w:vAlign w:val="top"/>
          </w:tcPr>
          <w:p>
            <w:pPr>
              <w:pStyle w:val="Compact"/>
              <w:keepLines/>
              <w:widowControl/>
              <w:spacing w:before="0" w:after="40" w:line="240" w:lineRule="auto"/>
              <w:jc w:val="center"/>
            </w:pPr>
            <w:r>
              <w:rPr>
                <w:sz w:val="20"/>
                <w:szCs w:val="20"/>
              </w:rPr>
              <w:t xml:space="preserve">Përmbledhjet e shkallës së raportit dhe numërimet</w:t>
            </w:r>
          </w:p>
        </w:tc>
      </w:tr>
    </w:tbl>
    <w:bookmarkEnd w:id="25"/>
    <w:p/>
    <w:p>
      <w:pPr>
        <w:pStyle w:val="BodyText"/>
      </w:pPr>
      <w:r>
        <w:t xml:space="preserve">Shkallët intervalore, të raportit dhe absolute quhen së bashku shkallë</w:t>
      </w:r>
      <w:r>
        <w:t xml:space="preserve"> </w:t>
      </w:r>
      <w:r>
        <w:rPr>
          <w:b/>
          <w:bCs/>
        </w:rPr>
        <w:t xml:space="preserve">metrike</w:t>
      </w:r>
      <w:r>
        <w:t xml:space="preserve">.</w:t>
      </w:r>
    </w:p>
    <w:p>
      <w:pPr>
        <w:pBdr>
          <w:bottom w:val="single" w:sz="4" w:space="6" w:color="B8C6CF"/>
        </w:pBdr>
        <w:spacing w:before="60" w:after="100"/>
      </w:pPr>
    </w:p>
    <w:bookmarkEnd w:id="26"/>
    <w:bookmarkStart w:id="28" w:name="shpërndarjet-e-frekuencave"/>
    <w:p>
      <w:pPr>
        <w:pStyle w:val="Heading2"/>
      </w:pPr>
      <w:r>
        <w:t xml:space="preserve">Shpërndarjet e frekuencave</w:t>
      </w:r>
    </w:p>
    <w:bookmarkStart w:id="27" w:name="tbl-summary-frequencies"/>
    <w:p>
      <w:pPr>
        <w:pStyle w:val="TableCaption"/>
        <w:keepNext/>
        <w:keepLines/>
        <w:widowControl/>
        <w:spacing w:before="120" w:after="80"/>
        <w:jc w:val="left"/>
      </w:pPr>
      <w:r>
        <w:t xml:space="preserve">Tabela 3: Referencë e përmbledhur për shpërndarjet e frekuencave.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286"/>
        <w:gridCol w:w="4190"/>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Madhësia</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Interpretimi</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Frekuenca absolute</w:t>
            </w:r>
          </w:p>
        </w:tc>
        <w:tc>
          <w:tcPr>
            <w:tcW w:w="2286" w:type="dxa"/>
            <w:shd w:fill="F3F7F9"/>
            <w:vAlign w:val="top"/>
          </w:tcPr>
          <w:p>
            <w:pPr>
              <w:pStyle w:val="Compact"/>
              <w:keepLines/>
              <w:widowControl/>
              <w:spacing w:before="0" w:after="40" w:line="240" w:lineRule="auto"/>
              <w:jc w:val="center"/>
            </w:pPr>
            <ns5:oMath>
              <ns5:sSub>
                <ns5:e>
                  <ns5:r>
                    <ns5:t>n</ns5:t>
                  </ns5:r>
                </ns5:e>
                <ns5:sub>
                  <ns5:r>
                    <ns5:t>j</ns5:t>
                  </ns5:r>
                </ns5:sub>
              </ns5:sSub>
            </ns5:oMath>
          </w:p>
        </w:tc>
        <w:tc>
          <w:tcPr>
            <w:tcW w:w="4190" w:type="dxa"/>
            <w:shd w:fill="F3F7F9"/>
            <w:vAlign w:val="top"/>
          </w:tcPr>
          <w:p>
            <w:pPr>
              <w:pStyle w:val="Compact"/>
              <w:keepLines/>
              <w:widowControl/>
              <w:spacing w:before="0" w:after="40" w:line="240" w:lineRule="auto"/>
              <w:jc w:val="center"/>
            </w:pPr>
            <w:r>
              <w:rPr>
                <w:sz w:val="20"/>
                <w:szCs w:val="20"/>
              </w:rPr>
              <w:t xml:space="preserve">Numri i vrojtimeve në kategorinë</w:t>
            </w:r>
            <w:r>
              <w:rPr>
                <w:sz w:val="20"/>
                <w:szCs w:val="20"/>
              </w:rPr>
              <w:t xml:space="preserve"> </w:t>
            </w:r>
            <ns5:oMath>
              <ns5:r>
                <ns5:t>j</ns5:t>
              </ns5:r>
            </ns5:oMath>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Frekuenca relative</w:t>
            </w:r>
          </w:p>
        </w:tc>
        <w:tc>
          <w:tcPr>
            <w:tcW w:w="2286" w:type="dxa"/>
            <w:shd w:fill="FFFFFF"/>
            <w:vAlign w:val="top"/>
          </w:tcPr>
          <w:p>
            <w:pPr>
              <w:pStyle w:val="Compact"/>
              <w:keepLines/>
              <w:widowControl/>
              <w:spacing w:before="0" w:after="40" w:line="240" w:lineRule="auto"/>
              <w:jc w:val="center"/>
            </w:pPr>
            <ns5:oMath>
              <ns5:sSub>
                <ns5:e>
                  <ns5:r>
                    <ns5:t>f</ns5:t>
                  </ns5:r>
                </ns5:e>
                <ns5:sub>
                  <ns5:r>
                    <ns5:t>j</ns5:t>
                  </ns5:r>
                </ns5:sub>
              </ns5:sSub>
              <ns5:r>
                <ns5:rPr>
                  <ns5:sty ns5:val="p"/>
                </ns5:rPr>
                <ns5:t>=</ns5:t>
              </ns5:r>
              <ns5:sSub>
                <ns5:e>
                  <ns5:r>
                    <ns5:t>n</ns5:t>
                  </ns5:r>
                </ns5:e>
                <ns5:sub>
                  <ns5:r>
                    <ns5:t>j</ns5:t>
                  </ns5:r>
                </ns5:sub>
              </ns5:sSub>
              <ns5:r>
                <ns5:rPr>
                  <ns5:sty ns5:val="p"/>
                </ns5:rPr>
                <ns5:t>/</ns5:t>
              </ns5:r>
              <ns5:r>
                <ns5:t>n</ns5:t>
              </ns5:r>
            </ns5:oMath>
          </w:p>
        </w:tc>
        <w:tc>
          <w:tcPr>
            <w:tcW w:w="4190" w:type="dxa"/>
            <w:shd w:fill="FFFFFF"/>
            <w:vAlign w:val="top"/>
          </w:tcPr>
          <w:p>
            <w:pPr>
              <w:pStyle w:val="Compact"/>
              <w:keepLines/>
              <w:widowControl/>
              <w:spacing w:before="0" w:after="40" w:line="240" w:lineRule="auto"/>
              <w:jc w:val="center"/>
            </w:pPr>
            <w:r>
              <w:rPr>
                <w:sz w:val="20"/>
                <w:szCs w:val="20"/>
              </w:rPr>
              <w:t xml:space="preserve">Përpjesëtimi në kategorinë</w:t>
            </w:r>
            <w:r>
              <w:rPr>
                <w:sz w:val="20"/>
                <w:szCs w:val="20"/>
              </w:rPr>
              <w:t xml:space="preserve"> </w:t>
            </w:r>
            <ns5:oMath>
              <ns5:r>
                <ns5:t>j</ns5:t>
              </ns5:r>
            </ns5:oMath>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Frekuenca relative kumulative</w:t>
            </w:r>
          </w:p>
        </w:tc>
        <w:tc>
          <w:tcPr>
            <w:tcW w:w="2286" w:type="dxa"/>
            <w:shd w:fill="F3F7F9"/>
            <w:vAlign w:val="top"/>
          </w:tcPr>
          <w:p>
            <w:pPr>
              <w:pStyle w:val="Compact"/>
              <w:keepLines/>
              <w:widowControl/>
              <w:spacing w:before="0" w:after="40" w:line="240" w:lineRule="auto"/>
              <w:jc w:val="center"/>
            </w:pPr>
            <ns5:oMath>
              <ns5:sSub>
                <ns5:e>
                  <ns5:r>
                    <ns5:t>F</ns5:t>
                  </ns5:r>
                </ns5:e>
                <ns5:sub>
                  <ns5:r>
                    <ns5:t>j</ns5:t>
                  </ns5:r>
                </ns5:sub>
              </ns5:sSub>
              <ns5:r>
                <ns5:rPr>
                  <ns5:sty ns5:val="p"/>
                </ns5:rPr>
                <ns5:t>=</ns5:t>
              </ns5:r>
              <ns5:nary>
                <ns5:naryPr>
                  <ns5:chr ns5:val="∑"/>
                  <ns5:limLoc ns5:val="undOvr"/>
                  <ns5:subHide ns5:val="off"/>
                  <ns5:supHide ns5:val="off"/>
                </ns5:naryPr>
                <ns5:sub>
                  <ns5:r>
                    <ns5:t>k</ns5:t>
                  </ns5:r>
                  <ns5:r>
                    <ns5:rPr>
                      <ns5:sty ns5:val="p"/>
                    </ns5:rPr>
                    <ns5:t>=</ns5:t>
                  </ns5:r>
                  <ns5:r>
                    <ns5:t>1</ns5:t>
                  </ns5:r>
                </ns5:sub>
                <ns5:sup>
                  <ns5:r>
                    <ns5:t>j</ns5:t>
                  </ns5:r>
                </ns5:sup>
                <ns5:e>
                  <ns5:sSub>
                    <ns5:e>
                      <ns5:r>
                        <ns5:t>f</ns5:t>
                      </ns5:r>
                    </ns5:e>
                    <ns5:sub>
                      <ns5:r>
                        <ns5:t>k</ns5:t>
                      </ns5:r>
                    </ns5:sub>
                  </ns5:sSub>
                </ns5:e>
              </ns5:nary>
            </ns5:oMath>
          </w:p>
        </w:tc>
        <w:tc>
          <w:tcPr>
            <w:tcW w:w="4190" w:type="dxa"/>
            <w:shd w:fill="F3F7F9"/>
            <w:vAlign w:val="top"/>
          </w:tcPr>
          <w:p>
            <w:pPr>
              <w:pStyle w:val="Compact"/>
              <w:keepLines/>
              <w:widowControl/>
              <w:spacing w:before="0" w:after="40" w:line="240" w:lineRule="auto"/>
              <w:jc w:val="center"/>
            </w:pPr>
            <w:r>
              <w:rPr>
                <w:sz w:val="20"/>
                <w:szCs w:val="20"/>
              </w:rPr>
              <w:t xml:space="preserve">Përpjesëtimi në kategorinë e renditur</w:t>
            </w:r>
            <w:r>
              <w:rPr>
                <w:sz w:val="20"/>
                <w:szCs w:val="20"/>
              </w:rPr>
              <w:t xml:space="preserve"> </w:t>
            </w:r>
            <ns5:oMath>
              <ns5:r>
                <ns5:t>j</ns5:t>
              </ns5:r>
            </ns5:oMath>
            <w:r>
              <w:rPr>
                <w:sz w:val="20"/>
                <w:szCs w:val="20"/>
              </w:rPr>
              <w:t xml:space="preserve"> </w:t>
            </w:r>
            <w:r>
              <w:rPr>
                <w:sz w:val="20"/>
                <w:szCs w:val="20"/>
              </w:rPr>
              <w:t xml:space="preserve">ose më poshtë</w:t>
            </w:r>
          </w:p>
        </w:tc>
      </w:tr>
    </w:tbl>
    <w:bookmarkEnd w:id="27"/>
    <w:p/>
    <w:p>
      <w:pPr>
        <w:pStyle w:val="BodyText"/>
      </w:pPr>
      <w:r>
        <w:t xml:space="preserve">Frekuencat absolute japin shumën</w:t>
      </w:r>
      <w:r>
        <w:t xml:space="preserve"> </w:t>
      </w:r>
      <ns5:oMath>
        <ns5:r>
          <ns5:t>n</ns5:t>
        </ns5:r>
      </ns5:oMath>
      <w:r>
        <w:t xml:space="preserve">, ndërsa frekuencat relative japin shumën 1, përveç dallimeve nga rrumbullakimi. Frekuencat kumulative kërkojnë një ndryshore të renditur dhe nuk kanë kuptim për kategoritë nominale.</w:t>
      </w:r>
    </w:p>
    <w:p>
      <w:pPr>
        <w:pBdr>
          <w:bottom w:val="single" w:sz="4" w:space="6" w:color="B8C6CF"/>
        </w:pBdr>
        <w:spacing w:before="60" w:after="100"/>
      </w:pPr>
    </w:p>
    <w:bookmarkEnd w:id="28"/>
    <w:bookmarkStart w:id="30" w:name="prirja-qendrore"/>
    <w:p>
      <w:pPr>
        <w:pStyle w:val="Heading2"/>
      </w:pPr>
      <w:r>
        <w:t xml:space="preserve">Prirja qendrore</w:t>
      </w:r>
    </w:p>
    <w:p>
      <w:pPr>
        <w:pStyle w:val="FirstParagraph"/>
      </w:pPr>
      <w:r>
        <w:t xml:space="preserve">Tri masa përshkruajnë vlerën tipike:</w:t>
      </w:r>
    </w:p>
    <w:bookmarkStart w:id="29" w:name="tbl-summary-central-tendency"/>
    <w:p>
      <w:pPr>
        <w:pStyle w:val="TableCaption"/>
        <w:keepNext/>
        <w:keepLines/>
        <w:widowControl/>
        <w:spacing w:before="120" w:after="80"/>
        <w:jc w:val="left"/>
      </w:pPr>
      <w:r>
        <w:t xml:space="preserve">Tabela 4: Masat e prirjes qendrore dhe përdorimet e tyre.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048"/>
        <w:gridCol w:w="4000"/>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Masa</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000" w:type="dxa"/>
            <w:shd w:fill="EAF2F6"/>
            <w:vAlign w:val="center"/>
          </w:tcPr>
          <w:p>
            <w:pPr>
              <w:pStyle w:val="Compact"/>
              <w:keepLines/>
              <w:widowControl/>
              <w:spacing w:before="0" w:after="40" w:line="240" w:lineRule="auto"/>
              <w:jc w:val="left"/>
            </w:pPr>
            <w:r>
              <w:rPr>
                <w:b/>
                <w:color w:val="183B56"/>
                <w:sz w:val="20"/>
                <w:szCs w:val="20"/>
              </w:rPr>
              <w:t xml:space="preserve">Kur përdoret</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Mesatarja</w:t>
            </w:r>
          </w:p>
        </w:tc>
        <w:tc>
          <w:tcPr>
            <w:tcW w:w="3048" w:type="dxa"/>
            <w:shd w:fill="F3F7F9"/>
            <w:vAlign w:val="top"/>
          </w:tcPr>
          <w:p>
            <w:pPr>
              <w:pStyle w:val="Compact"/>
              <w:keepLines/>
              <w:widowControl/>
              <w:spacing w:before="0" w:after="40" w:line="240" w:lineRule="auto"/>
              <w:jc w:val="center"/>
            </w:pPr>
            <ns5:oMath>
              <ns5:acc>
                <ns5:accPr>
                  <ns5:chr ns5:val="‾"/>
                </ns5:accPr>
                <ns5:e>
                  <ns5:r>
                    <ns5:t>x</ns5:t>
                  </ns5:r>
                </ns5:e>
              </ns5:acc>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x</ns5:t>
                      </ns5:r>
                    </ns5:e>
                    <ns5:sub>
                      <ns5:r>
                        <ns5:t>i</ns5:t>
                      </ns5:r>
                    </ns5:sub>
                  </ns5:sSub>
                </ns5:e>
              </ns5:nary>
            </ns5:oMath>
          </w:p>
        </w:tc>
        <w:tc>
          <w:tcPr>
            <w:tcW w:w="4000" w:type="dxa"/>
            <w:shd w:fill="F3F7F9"/>
            <w:vAlign w:val="top"/>
          </w:tcPr>
          <w:p>
            <w:pPr>
              <w:pStyle w:val="Compact"/>
              <w:keepLines/>
              <w:widowControl/>
              <w:spacing w:before="0" w:after="40" w:line="240" w:lineRule="auto"/>
              <w:jc w:val="center"/>
            </w:pPr>
            <w:r>
              <w:rPr>
                <w:sz w:val="20"/>
                <w:szCs w:val="20"/>
              </w:rPr>
              <w:t xml:space="preserve">Shpërndarje simetrike; të dhëna metrike</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Mediana</w:t>
            </w:r>
          </w:p>
        </w:tc>
        <w:tc>
          <w:tcPr>
            <w:tcW w:w="3048" w:type="dxa"/>
            <w:shd w:fill="FFFFFF"/>
            <w:vAlign w:val="top"/>
          </w:tcPr>
          <w:p>
            <w:pPr>
              <w:pStyle w:val="Compact"/>
              <w:keepLines/>
              <w:widowControl/>
              <w:spacing w:before="0" w:after="40" w:line="240" w:lineRule="auto"/>
              <w:jc w:val="center"/>
            </w:pPr>
            <w:r>
              <w:rPr>
                <w:sz w:val="20"/>
                <w:szCs w:val="20"/>
              </w:rPr>
              <w:t xml:space="preserve">Vlera e mesit pas renditjes</w:t>
            </w:r>
          </w:p>
        </w:tc>
        <w:tc>
          <w:tcPr>
            <w:tcW w:w="4000" w:type="dxa"/>
            <w:shd w:fill="FFFFFF"/>
            <w:vAlign w:val="top"/>
          </w:tcPr>
          <w:p>
            <w:pPr>
              <w:pStyle w:val="Compact"/>
              <w:keepLines/>
              <w:widowControl/>
              <w:spacing w:before="0" w:after="40" w:line="240" w:lineRule="auto"/>
              <w:jc w:val="center"/>
            </w:pPr>
            <w:r>
              <w:rPr>
                <w:sz w:val="20"/>
                <w:szCs w:val="20"/>
              </w:rPr>
              <w:t xml:space="preserve">Shpërndarje të anuara; rezistente ndaj vlerave të veçuara</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Moda</w:t>
            </w:r>
          </w:p>
        </w:tc>
        <w:tc>
          <w:tcPr>
            <w:tcW w:w="3048" w:type="dxa"/>
            <w:shd w:fill="F3F7F9"/>
            <w:vAlign w:val="top"/>
          </w:tcPr>
          <w:p>
            <w:pPr>
              <w:pStyle w:val="Compact"/>
              <w:keepLines/>
              <w:widowControl/>
              <w:spacing w:before="0" w:after="40" w:line="240" w:lineRule="auto"/>
              <w:jc w:val="center"/>
            </w:pPr>
            <w:r>
              <w:rPr>
                <w:sz w:val="20"/>
                <w:szCs w:val="20"/>
              </w:rPr>
              <w:t xml:space="preserve">Vlera ose kategoria më e shpeshtë</w:t>
            </w:r>
          </w:p>
        </w:tc>
        <w:tc>
          <w:tcPr>
            <w:tcW w:w="4000" w:type="dxa"/>
            <w:shd w:fill="F3F7F9"/>
            <w:vAlign w:val="top"/>
          </w:tcPr>
          <w:p>
            <w:pPr>
              <w:pStyle w:val="Compact"/>
              <w:keepLines/>
              <w:widowControl/>
              <w:spacing w:before="0" w:after="40" w:line="240" w:lineRule="auto"/>
              <w:jc w:val="center"/>
            </w:pPr>
            <w:r>
              <w:rPr>
                <w:sz w:val="20"/>
                <w:szCs w:val="20"/>
              </w:rPr>
              <w:t xml:space="preserve">Çdo shkallë; mund të ketë barazim ose të mos jetë unike</w:t>
            </w:r>
          </w:p>
        </w:tc>
      </w:tr>
    </w:tbl>
    <w:bookmarkEnd w:id="29"/>
    <w:p/>
    <w:p>
      <w:pPr>
        <w:pStyle w:val="BodyText"/>
      </w:pPr>
      <w:r>
        <w:t xml:space="preserve">Kur mesatarja është dukshëm më e lartë se mediana, ky model mund të sugjerojë asimetri djathtas, sidomos kur histogrami tregon edhe një bisht të gjatë djathtas. Vetëm renditja e dy statistikave nuk e provon formën e shpërndarjes.</w:t>
      </w:r>
    </w:p>
    <w:p>
      <w:pPr>
        <w:pBdr>
          <w:bottom w:val="single" w:sz="4" w:space="6" w:color="B8C6CF"/>
        </w:pBdr>
        <w:spacing w:before="60" w:after="100"/>
      </w:pPr>
    </w:p>
    <w:bookmarkEnd w:id="30"/>
    <w:bookmarkStart w:id="32" w:name="ndryshueshmëria"/>
    <w:p>
      <w:pPr>
        <w:pStyle w:val="Heading2"/>
      </w:pPr>
      <w:r>
        <w:t xml:space="preserve">Ndryshueshmëria</w:t>
      </w:r>
    </w:p>
    <w:p>
      <w:pPr>
        <w:pStyle w:val="FirstParagraph"/>
      </w:pPr>
      <w:r>
        <w:t xml:space="preserve">Katër masa përshkruajnë sa ndryshojnë individët:</w:t>
      </w:r>
    </w:p>
    <w:bookmarkStart w:id="31" w:name="tbl-summary-variability"/>
    <w:p>
      <w:pPr>
        <w:pStyle w:val="TableCaption"/>
        <w:keepNext/>
        <w:keepLines/>
        <w:widowControl/>
        <w:spacing w:before="120" w:after="80"/>
        <w:jc w:val="left"/>
      </w:pPr>
      <w:r>
        <w:t xml:space="preserve">Tabela 5: Masat e ndryshueshmërisë dhe përdorimet e tyre.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2667"/>
        <w:gridCol w:w="4190"/>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Masa</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Kur përdoret</w:t>
            </w:r>
          </w:p>
        </w:tc>
      </w:tr>
      <w:tr>
        <w:trPr>
          <w:cantSplit/>
        </w:trPr>
        <w:tc>
          <w:tcPr>
            <w:tcW w:w="2667" w:type="dxa"/>
            <w:shd w:fill="F3F7F9"/>
            <w:vAlign w:val="top"/>
          </w:tcPr>
          <w:p>
            <w:pPr>
              <w:pStyle w:val="Compact"/>
              <w:keepLines/>
              <w:widowControl/>
              <w:spacing w:before="0" w:after="40" w:line="240" w:lineRule="auto"/>
              <w:jc w:val="center"/>
            </w:pPr>
            <w:r>
              <w:rPr>
                <w:sz w:val="20"/>
                <w:szCs w:val="20"/>
              </w:rPr>
              <w:t xml:space="preserve">Amplituda</w:t>
            </w:r>
          </w:p>
        </w:tc>
        <w:tc>
          <w:tcPr>
            <w:tcW w:w="2667" w:type="dxa"/>
            <w:shd w:fill="F3F7F9"/>
            <w:vAlign w:val="top"/>
          </w:tcPr>
          <w:p>
            <w:pPr>
              <w:pStyle w:val="Compact"/>
              <w:keepLines/>
              <w:widowControl/>
              <w:spacing w:before="0" w:after="40" w:line="240" w:lineRule="auto"/>
              <w:jc w:val="center"/>
            </w:pPr>
            <ns5:oMath>
              <ns5:sSub>
                <ns5:e>
                  <ns5:r>
                    <ns5:t>x</ns5:t>
                  </ns5:r>
                </ns5:e>
                <ns5:sub>
                  <ns5:r>
                    <ns5:rPr>
                      <ns5:sty ns5:val="p"/>
                    </ns5:rPr>
                    <ns5:t>max</ns5:t>
                  </ns5:r>
                </ns5:sub>
              </ns5:sSub>
              <ns5:r>
                <ns5:rPr>
                  <ns5:sty ns5:val="p"/>
                </ns5:rPr>
                <ns5:t>−</ns5:t>
              </ns5:r>
              <ns5:sSub>
                <ns5:e>
                  <ns5:r>
                    <ns5:t>x</ns5:t>
                  </ns5:r>
                </ns5:e>
                <ns5:sub>
                  <ns5:r>
                    <ns5:rPr>
                      <ns5:sty ns5:val="p"/>
                    </ns5:rPr>
                    <ns5:t>min</ns5:t>
                  </ns5:r>
                </ns5:sub>
              </ns5:sSub>
            </ns5:oMath>
          </w:p>
        </w:tc>
        <w:tc>
          <w:tcPr>
            <w:tcW w:w="4190" w:type="dxa"/>
            <w:shd w:fill="F3F7F9"/>
            <w:vAlign w:val="top"/>
          </w:tcPr>
          <w:p>
            <w:pPr>
              <w:pStyle w:val="Compact"/>
              <w:keepLines/>
              <w:widowControl/>
              <w:spacing w:before="0" w:after="40" w:line="240" w:lineRule="auto"/>
              <w:jc w:val="center"/>
            </w:pPr>
            <w:r>
              <w:rPr>
                <w:sz w:val="20"/>
                <w:szCs w:val="20"/>
              </w:rPr>
              <w:t xml:space="preserve">Pasqyrë e drejtpërdrejtë; e ndjeshme ndaj skajeve</w:t>
            </w:r>
          </w:p>
        </w:tc>
      </w:tr>
      <w:tr>
        <w:trPr>
          <w:cantSplit/>
        </w:trPr>
        <w:tc>
          <w:tcPr>
            <w:tcW w:w="2667" w:type="dxa"/>
            <w:shd w:fill="FFFFFF"/>
            <w:vAlign w:val="top"/>
          </w:tcPr>
          <w:p>
            <w:pPr>
              <w:pStyle w:val="Compact"/>
              <w:keepLines/>
              <w:widowControl/>
              <w:spacing w:before="0" w:after="40" w:line="240" w:lineRule="auto"/>
              <w:jc w:val="center"/>
            </w:pPr>
            <w:r>
              <w:rPr>
                <w:sz w:val="20"/>
                <w:szCs w:val="20"/>
              </w:rPr>
              <w:t xml:space="preserve">IQR</w:t>
            </w:r>
          </w:p>
        </w:tc>
        <w:tc>
          <w:tcPr>
            <w:tcW w:w="2667" w:type="dxa"/>
            <w:shd w:fill="FFFFFF"/>
            <w:vAlign w:val="top"/>
          </w:tcPr>
          <w:p>
            <w:pPr>
              <w:pStyle w:val="Compact"/>
              <w:keepLines/>
              <w:widowControl/>
              <w:spacing w:before="0" w:after="40" w:line="240" w:lineRule="auto"/>
              <w:jc w:val="center"/>
            </w:pPr>
            <ns5:oMath>
              <ns5:sSub>
                <ns5:e>
                  <ns5:r>
                    <ns5:t>Q</ns5:t>
                  </ns5:r>
                </ns5:e>
                <ns5:sub>
                  <ns5:r>
                    <ns5:t>3</ns5:t>
                  </ns5:r>
                </ns5:sub>
              </ns5:sSub>
              <ns5:r>
                <ns5:rPr>
                  <ns5:sty ns5:val="p"/>
                </ns5:rPr>
                <ns5:t>−</ns5:t>
              </ns5:r>
              <ns5:sSub>
                <ns5:e>
                  <ns5:r>
                    <ns5:t>Q</ns5:t>
                  </ns5:r>
                </ns5:e>
                <ns5:sub>
                  <ns5:r>
                    <ns5:t>1</ns5:t>
                  </ns5:r>
                </ns5:sub>
              </ns5:sSub>
            </ns5:oMath>
          </w:p>
        </w:tc>
        <w:tc>
          <w:tcPr>
            <w:tcW w:w="4190" w:type="dxa"/>
            <w:shd w:fill="FFFFFF"/>
            <w:vAlign w:val="top"/>
          </w:tcPr>
          <w:p>
            <w:pPr>
              <w:pStyle w:val="Compact"/>
              <w:keepLines/>
              <w:widowControl/>
              <w:spacing w:before="0" w:after="40" w:line="240" w:lineRule="auto"/>
              <w:jc w:val="center"/>
            </w:pPr>
            <w:r>
              <w:rPr>
                <w:sz w:val="20"/>
                <w:szCs w:val="20"/>
              </w:rPr>
              <w:t xml:space="preserve">Shpërhapje rezistente; përdoret me medianën</w:t>
            </w:r>
          </w:p>
        </w:tc>
      </w:tr>
      <w:tr>
        <w:trPr>
          <w:cantSplit/>
        </w:trPr>
        <w:tc>
          <w:tcPr>
            <w:tcW w:w="2667" w:type="dxa"/>
            <w:shd w:fill="F3F7F9"/>
            <w:vAlign w:val="top"/>
          </w:tcPr>
          <w:p>
            <w:pPr>
              <w:pStyle w:val="Compact"/>
              <w:keepLines/>
              <w:widowControl/>
              <w:spacing w:before="0" w:after="40" w:line="240" w:lineRule="auto"/>
              <w:jc w:val="center"/>
            </w:pPr>
            <w:r>
              <w:rPr>
                <w:sz w:val="20"/>
                <w:szCs w:val="20"/>
              </w:rPr>
              <w:t xml:space="preserve">Varianca</w:t>
            </w:r>
          </w:p>
        </w:tc>
        <w:tc>
          <w:tcPr>
            <w:tcW w:w="2667" w:type="dxa"/>
            <w:shd w:fill="F3F7F9"/>
            <w:vAlign w:val="top"/>
          </w:tcPr>
          <w:p>
            <w:pPr>
              <w:pStyle w:val="Compact"/>
              <w:keepLines/>
              <w:widowControl/>
              <w:spacing w:before="0" w:after="40" w:line="240" w:lineRule="auto"/>
              <w:jc w:val="center"/>
            </w:pPr>
            <ns5:oMath>
              <ns5:sSup>
                <ns5:e>
                  <ns5:r>
                    <ns5:t>s</ns5:t>
                  </ns5:r>
                </ns5:e>
                <ns5:sup>
                  <ns5:r>
                    <ns5:t>2</ns5:t>
                  </ns5:r>
                </ns5:sup>
              </ns5:sSup>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oMath>
          </w:p>
        </w:tc>
        <w:tc>
          <w:tcPr>
            <w:tcW w:w="4190" w:type="dxa"/>
            <w:shd w:fill="F3F7F9"/>
            <w:vAlign w:val="top"/>
          </w:tcPr>
          <w:p>
            <w:pPr>
              <w:pStyle w:val="Compact"/>
              <w:keepLines/>
              <w:widowControl/>
              <w:spacing w:before="0" w:after="40" w:line="240" w:lineRule="auto"/>
              <w:jc w:val="center"/>
            </w:pPr>
            <w:r>
              <w:rPr>
                <w:sz w:val="20"/>
                <w:szCs w:val="20"/>
              </w:rPr>
              <w:t xml:space="preserve">Baza për SD-në dhe statistika të tjera</w:t>
            </w:r>
          </w:p>
        </w:tc>
      </w:tr>
      <w:tr>
        <w:trPr>
          <w:cantSplit/>
        </w:trPr>
        <w:tc>
          <w:tcPr>
            <w:tcW w:w="2667" w:type="dxa"/>
            <w:shd w:fill="FFFFFF"/>
            <w:vAlign w:val="top"/>
          </w:tcPr>
          <w:p>
            <w:pPr>
              <w:pStyle w:val="Compact"/>
              <w:keepLines/>
              <w:widowControl/>
              <w:spacing w:before="0" w:after="40" w:line="240" w:lineRule="auto"/>
              <w:jc w:val="center"/>
            </w:pPr>
            <w:r>
              <w:rPr>
                <w:sz w:val="20"/>
                <w:szCs w:val="20"/>
              </w:rPr>
              <w:t xml:space="preserve">SD</w:t>
            </w:r>
          </w:p>
        </w:tc>
        <w:tc>
          <w:tcPr>
            <w:tcW w:w="2667" w:type="dxa"/>
            <w:shd w:fill="FFFFFF"/>
            <w:vAlign w:val="top"/>
          </w:tcPr>
          <w:p>
            <w:pPr>
              <w:pStyle w:val="Compact"/>
              <w:keepLines/>
              <w:widowControl/>
              <w:spacing w:before="0" w:after="40" w:line="240" w:lineRule="auto"/>
              <w:jc w:val="center"/>
            </w:pPr>
            <ns5:oMath>
              <ns5:r>
                <ns5:t>s</ns5:t>
              </ns5:r>
              <ns5:r>
                <ns5:rPr>
                  <ns5:sty ns5:val="p"/>
                </ns5:rPr>
                <ns5:t>=</ns5:t>
              </ns5:r>
              <ns5:rad>
                <ns5:radPr>
                  <ns5:degHide ns5:val="on"/>
                </ns5:radPr>
                <ns5:deg/>
                <ns5:e>
                  <ns5:sSup>
                    <ns5:e>
                      <ns5:r>
                        <ns5:t>s</ns5:t>
                      </ns5:r>
                    </ns5:e>
                    <ns5:sup>
                      <ns5:r>
                        <ns5:t>2</ns5:t>
                      </ns5:r>
                    </ns5:sup>
                  </ns5:sSup>
                </ns5:e>
              </ns5:rad>
            </ns5:oMath>
          </w:p>
        </w:tc>
        <w:tc>
          <w:tcPr>
            <w:tcW w:w="4190" w:type="dxa"/>
            <w:shd w:fill="FFFFFF"/>
            <w:vAlign w:val="top"/>
          </w:tcPr>
          <w:p>
            <w:pPr>
              <w:pStyle w:val="Compact"/>
              <w:keepLines/>
              <w:widowControl/>
              <w:spacing w:before="0" w:after="40" w:line="240" w:lineRule="auto"/>
              <w:jc w:val="center"/>
            </w:pPr>
            <w:r>
              <w:rPr>
                <w:sz w:val="20"/>
                <w:szCs w:val="20"/>
              </w:rPr>
              <w:t xml:space="preserve">Shkalla e devijimeve rreth mesatares; përdoret me mesataren</w:t>
            </w:r>
          </w:p>
        </w:tc>
      </w:tr>
    </w:tbl>
    <w:bookmarkEnd w:id="31"/>
    <w:p/>
    <w:p>
      <w:pPr>
        <w:pStyle w:val="BodyText"/>
      </w:pPr>
      <w:r>
        <w:t xml:space="preserve">Vlerat</w:t>
      </w:r>
      <w:r>
        <w:t xml:space="preserve"> </w:t>
      </w:r>
      <ns5:oMath>
        <ns5:sSub>
          <ns5:e>
            <ns5:r>
              <ns5:t>Q</ns5:t>
            </ns5:r>
          </ns5:e>
          <ns5:sub>
            <ns5:r>
              <ns5:t>1</ns5:t>
            </ns5:r>
          </ns5:sub>
        </ns5:sSub>
        <ns5:r>
          <ns5:rPr>
            <ns5:sty ns5:val="p"/>
          </ns5:rPr>
          <ns5:t>−</ns5:t>
        </ns5:r>
        <ns5:r>
          <ns5:t>1.5</ns5:t>
        </ns5:r>
        <ns5:r>
          <ns5:rPr>
            <ns5:sty ns5:val="p"/>
          </ns5:rPr>
          <ns5:t>⋅</ns5:t>
        </ns5:r>
        <ns5:r>
          <ns5:rPr>
            <ns5:nor/>
            <ns5:sty ns5:val="p"/>
          </ns5:rPr>
          <ns5:t>IQR</ns5:t>
        </ns5:r>
      </ns5:oMath>
      <w:r>
        <w:t xml:space="preserve"> </w:t>
      </w:r>
      <w:r>
        <w:t xml:space="preserve">dhe</w:t>
      </w:r>
      <w:r>
        <w:t xml:space="preserve"> </w:t>
      </w:r>
      <ns5:oMath>
        <ns5:sSub>
          <ns5:e>
            <ns5:r>
              <ns5:t>Q</ns5:t>
            </ns5:r>
          </ns5:e>
          <ns5:sub>
            <ns5:r>
              <ns5:t>3</ns5:t>
            </ns5:r>
          </ns5:sub>
        </ns5:sSub>
        <ns5:r>
          <ns5:rPr>
            <ns5:sty ns5:val="p"/>
          </ns5:rPr>
          <ns5:t>+</ns5:t>
        </ns5:r>
        <ns5:r>
          <ns5:t>1.5</ns5:t>
        </ns5:r>
        <ns5:r>
          <ns5:rPr>
            <ns5:sty ns5:val="p"/>
          </ns5:rPr>
          <ns5:t>⋅</ns5:t>
        </ns5:r>
        <ns5:r>
          <ns5:rPr>
            <ns5:nor/>
            <ns5:sty ns5:val="p"/>
          </ns5:rPr>
          <ns5:t>IQR</ns5:t>
        </ns5:r>
      </ns5:oMath>
      <w:r>
        <w:t xml:space="preserve"> </w:t>
      </w:r>
      <w:r>
        <w:t xml:space="preserve">përcaktojnë kufirin e poshtëm dhe të sipërm. Mustaqet shtrihen deri te vrojtimet më të skajshme brenda këtyre kufijve. Vlerat përtej kufijve paraqiten veçmas si vlera të mundshme të veçuara.</w:t>
      </w:r>
    </w:p>
    <w:p>
      <w:pPr>
        <w:pBdr>
          <w:bottom w:val="single" w:sz="4" w:space="6" w:color="B8C6CF"/>
        </w:pBdr>
        <w:spacing w:before="60" w:after="100"/>
      </w:pPr>
    </w:p>
    <w:bookmarkEnd w:id="32"/>
    <w:bookmarkStart w:id="34" w:name="transformimet-lineare"/>
    <w:p>
      <w:pPr>
        <w:pStyle w:val="Heading2"/>
      </w:pPr>
      <w:r>
        <w:t xml:space="preserve">Transformimet lineare</w:t>
      </w:r>
    </w:p>
    <w:p>
      <w:pPr>
        <w:pStyle w:val="FirstParagraph"/>
      </w:pPr>
      <w:r>
        <w:t xml:space="preserve">Transformimi linear</w:t>
      </w:r>
      <w:r>
        <w:t xml:space="preserve"> </w:t>
      </w:r>
      <ns5:oMath>
        <ns5:sSub>
          <ns5:e>
            <ns5:r>
              <ns5:t>y</ns5:t>
            </ns5:r>
          </ns5:e>
          <ns5:sub>
            <ns5:r>
              <ns5:t>i</ns5:t>
            </ns5:r>
          </ns5:sub>
        </ns5:sSub>
        <ns5:r>
          <ns5:rPr>
            <ns5:sty ns5:val="p"/>
          </ns5:rPr>
          <ns5:t>=</ns5:t>
        </ns5:r>
        <ns5:r>
          <ns5:t>a</ns5:t>
        </ns5:r>
        <ns5:r>
          <ns5:rPr>
            <ns5:sty ns5:val="p"/>
          </ns5:rPr>
          <ns5:t>+</ns5:t>
        </ns5:r>
        <ns5:r>
          <ns5:t>b</ns5:t>
        </ns5:r>
        <ns5:r>
          <ns5:rPr>
            <ns5:sty ns5:val="p"/>
          </ns5:rPr>
          <ns5:t>⋅</ns5:t>
        </ns5:r>
        <ns5:sSub>
          <ns5:e>
            <ns5:r>
              <ns5:t>x</ns5:t>
            </ns5:r>
          </ns5:e>
          <ns5:sub>
            <ns5:r>
              <ns5:t>i</ns5:t>
            </ns5:r>
          </ns5:sub>
        </ns5:sSub>
      </ns5:oMath>
      <w:r>
        <w:t xml:space="preserve"> </w:t>
      </w:r>
      <w:r>
        <w:t xml:space="preserve">ka ndikime të parashikueshme në statistikat përmbledhëse:</w:t>
      </w:r>
    </w:p>
    <w:bookmarkStart w:id="33" w:name="tbl-summary-linear-transformations"/>
    <w:p>
      <w:pPr>
        <w:pStyle w:val="TableCaption"/>
        <w:keepNext/>
        <w:keepLines/>
        <w:widowControl/>
        <w:spacing w:before="120" w:after="80"/>
        <w:jc w:val="left"/>
      </w:pPr>
      <w:r>
        <w:t xml:space="preserve">Tabela 6: Ndikimet e transformimit linear në statistikat përshkruese.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905"/>
        <w:gridCol w:w="3143"/>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Madhësia</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Rregulli i transformimit</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Ndikimi</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Mesatarja</w:t>
            </w:r>
          </w:p>
        </w:tc>
        <w:tc>
          <w:tcPr>
            <w:tcW w:w="3905" w:type="dxa"/>
            <w:shd w:fill="F3F7F9"/>
            <w:vAlign w:val="top"/>
          </w:tcPr>
          <w:p>
            <w:pPr>
              <w:pStyle w:val="Compact"/>
              <w:keepLines/>
              <w:widowControl/>
              <w:spacing w:before="0" w:after="40" w:line="240" w:lineRule="auto"/>
              <w:jc w:val="center"/>
            </w:pP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oMath>
          </w:p>
        </w:tc>
        <w:tc>
          <w:tcPr>
            <w:tcW w:w="3143" w:type="dxa"/>
            <w:shd w:fill="F3F7F9"/>
            <w:vAlign w:val="top"/>
          </w:tcPr>
          <w:p>
            <w:pPr>
              <w:pStyle w:val="Compact"/>
              <w:keepLines/>
              <w:widowControl/>
              <w:spacing w:before="0" w:after="40" w:line="240" w:lineRule="auto"/>
              <w:jc w:val="center"/>
            </w:pPr>
            <w:r>
              <w:rPr>
                <w:sz w:val="20"/>
                <w:szCs w:val="20"/>
              </w:rPr>
              <w:t xml:space="preserve">Zhvendoset me</w:t>
            </w:r>
            <w:r>
              <w:rPr>
                <w:sz w:val="20"/>
                <w:szCs w:val="20"/>
              </w:rPr>
              <w:t xml:space="preserve"> </w:t>
            </w:r>
            <ns5:oMath>
              <ns5:r>
                <ns5:t>a</ns5:t>
              </ns5:r>
            </ns5:oMath>
            <w:r>
              <w:rPr>
                <w:sz w:val="20"/>
                <w:szCs w:val="20"/>
              </w:rPr>
              <w:t xml:space="preserve"> </w:t>
            </w:r>
            <w:r>
              <w:rPr>
                <w:sz w:val="20"/>
                <w:szCs w:val="20"/>
              </w:rPr>
              <w:t xml:space="preserve">dhe shkallëzohet me</w:t>
            </w:r>
            <w:r>
              <w:rPr>
                <w:sz w:val="20"/>
                <w:szCs w:val="20"/>
              </w:rPr>
              <w:t xml:space="preserve"> </w:t>
            </w:r>
            <ns5:oMath>
              <ns5:r>
                <ns5:t>b</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Varianca</w:t>
            </w:r>
          </w:p>
        </w:tc>
        <w:tc>
          <w:tcPr>
            <w:tcW w:w="3905" w:type="dxa"/>
            <w:shd w:fill="FFFFFF"/>
            <w:vAlign w:val="top"/>
          </w:tcPr>
          <w:p>
            <w:pPr>
              <w:pStyle w:val="Compact"/>
              <w:keepLines/>
              <w:widowControl/>
              <w:spacing w:before="0" w:after="40" w:line="240" w:lineRule="auto"/>
              <w:jc w:val="center"/>
            </w:pPr>
            <ns5:oMath>
              <ns5:sSubSup>
                <ns5:e>
                  <ns5:r>
                    <ns5:t>s</ns5:t>
                  </ns5:r>
                </ns5:e>
                <ns5:sub>
                  <ns5:r>
                    <ns5:t>y</ns5:t>
                  </ns5:r>
                </ns5:sub>
                <ns5:sup>
                  <ns5:r>
                    <ns5:t>2</ns5:t>
                  </ns5:r>
                </ns5:sup>
              </ns5:sSubSup>
              <ns5:r>
                <ns5:rPr>
                  <ns5:sty ns5:val="p"/>
                </ns5:rPr>
                <ns5:t>=</ns5:t>
              </ns5:r>
              <ns5:sSup>
                <ns5:e>
                  <ns5:r>
                    <ns5:t>b</ns5:t>
                  </ns5:r>
                </ns5:e>
                <ns5:sup>
                  <ns5:r>
                    <ns5:t>2</ns5:t>
                  </ns5:r>
                </ns5:sup>
              </ns5:sSup>
              <ns5:sSubSup>
                <ns5:e>
                  <ns5:r>
                    <ns5:t>s</ns5:t>
                  </ns5:r>
                </ns5:e>
                <ns5:sub>
                  <ns5:r>
                    <ns5:t>x</ns5:t>
                  </ns5:r>
                </ns5:sub>
                <ns5:sup>
                  <ns5:r>
                    <ns5:t>2</ns5:t>
                  </ns5:r>
                </ns5:sup>
              </ns5:sSubSup>
            </ns5:oMath>
          </w:p>
        </w:tc>
        <w:tc>
          <w:tcPr>
            <w:tcW w:w="3143" w:type="dxa"/>
            <w:shd w:fill="FFFFFF"/>
            <w:vAlign w:val="top"/>
          </w:tcPr>
          <w:p>
            <w:pPr>
              <w:pStyle w:val="Compact"/>
              <w:keepLines/>
              <w:widowControl/>
              <w:spacing w:before="0" w:after="40" w:line="240" w:lineRule="auto"/>
              <w:jc w:val="center"/>
            </w:pPr>
            <w:r>
              <w:rPr>
                <w:sz w:val="20"/>
                <w:szCs w:val="20"/>
              </w:rPr>
              <w:t xml:space="preserve">Shkallëzohet me</w:t>
            </w:r>
            <w:r>
              <w:rPr>
                <w:sz w:val="20"/>
                <w:szCs w:val="20"/>
              </w:rPr>
              <w:t xml:space="preserve"> </w:t>
            </w:r>
            <ns5:oMath>
              <ns5:sSup>
                <ns5:e>
                  <ns5:r>
                    <ns5:t>b</ns5:t>
                  </ns5:r>
                </ns5:e>
                <ns5:sup>
                  <ns5:r>
                    <ns5:t>2</ns5:t>
                  </ns5:r>
                </ns5:sup>
              </ns5:sSup>
            </ns5:oMath>
            <w:r>
              <w:rPr>
                <w:sz w:val="20"/>
                <w:szCs w:val="20"/>
              </w:rPr>
              <w:t xml:space="preserve">; nuk ndikohet nga</w:t>
            </w:r>
            <w:r>
              <w:rPr>
                <w:sz w:val="20"/>
                <w:szCs w:val="20"/>
              </w:rPr>
              <w:t xml:space="preserve"> </w:t>
            </w:r>
            <ns5:oMath>
              <ns5:r>
                <ns5:t>a</ns5:t>
              </ns5:r>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Devijimi standard</w:t>
            </w:r>
          </w:p>
        </w:tc>
        <w:tc>
          <w:tcPr>
            <w:tcW w:w="3905" w:type="dxa"/>
            <w:shd w:fill="F3F7F9"/>
            <w:vAlign w:val="top"/>
          </w:tcPr>
          <w:p>
            <w:pPr>
              <w:pStyle w:val="Compact"/>
              <w:keepLines/>
              <w:widowControl/>
              <w:spacing w:before="0" w:after="40" w:line="240" w:lineRule="auto"/>
              <w:jc w:val="center"/>
            </w:pPr>
            <ns5:oMath>
              <ns5:sSub>
                <ns5:e>
                  <ns5:r>
                    <ns5:t>s</ns5:t>
                  </ns5:r>
                </ns5:e>
                <ns5:sub>
                  <ns5:r>
                    <ns5:t>y</ns5:t>
                  </ns5:r>
                </ns5:sub>
              </ns5:sSub>
              <ns5:r>
                <ns5:rPr>
                  <ns5:sty ns5:val="p"/>
                </ns5:rPr>
                <ns5:t>=</ns5:t>
              </ns5:r>
              <ns5:d>
                <ns5:dPr>
                  <ns5:begChr ns5:val="|"/>
                  <ns5:sepChr ns5:val=""/>
                  <ns5:endChr ns5:val="|"/>
                  <ns5:grow/>
                </ns5:dPr>
                <ns5:e>
                  <ns5:r>
                    <ns5:t>b</ns5:t>
                  </ns5:r>
                </ns5:e>
              </ns5:d>
              <ns5:sSub>
                <ns5:e>
                  <ns5:r>
                    <ns5:t>s</ns5:t>
                  </ns5:r>
                </ns5:e>
                <ns5:sub>
                  <ns5:r>
                    <ns5:t>x</ns5:t>
                  </ns5:r>
                </ns5:sub>
              </ns5:sSub>
            </ns5:oMath>
          </w:p>
        </w:tc>
        <w:tc>
          <w:tcPr>
            <w:tcW w:w="3143" w:type="dxa"/>
            <w:shd w:fill="F3F7F9"/>
            <w:vAlign w:val="top"/>
          </w:tcPr>
          <w:p>
            <w:pPr>
              <w:pStyle w:val="Compact"/>
              <w:keepLines/>
              <w:widowControl/>
              <w:spacing w:before="0" w:after="40" w:line="240" w:lineRule="auto"/>
              <w:jc w:val="center"/>
            </w:pPr>
            <w:r>
              <w:rPr>
                <w:sz w:val="20"/>
                <w:szCs w:val="20"/>
              </w:rPr>
              <w:t xml:space="preserve">Shkallëzohet me</w:t>
            </w:r>
            <w:r>
              <w:rPr>
                <w:sz w:val="20"/>
                <w:szCs w:val="20"/>
              </w:rPr>
              <w:t xml:space="preserve"> </w:t>
            </w:r>
            <ns5:oMath>
              <ns5:d>
                <ns5:dPr>
                  <ns5:begChr ns5:val="|"/>
                  <ns5:sepChr ns5:val=""/>
                  <ns5:endChr ns5:val="|"/>
                  <ns5:grow/>
                </ns5:dPr>
                <ns5:e>
                  <ns5:r>
                    <ns5:t>b</ns5:t>
                  </ns5:r>
                </ns5:e>
              </ns5:d>
            </ns5:oMath>
            <w:r>
              <w:rPr>
                <w:sz w:val="20"/>
                <w:szCs w:val="20"/>
              </w:rPr>
              <w:t xml:space="preserve">; nuk ndikohet nga</w:t>
            </w:r>
            <w:r>
              <w:rPr>
                <w:sz w:val="20"/>
                <w:szCs w:val="20"/>
              </w:rPr>
              <w:t xml:space="preserve"> </w:t>
            </w:r>
            <ns5:oMath>
              <ns5:r>
                <ns5:t>a</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Renditja dhe orientimi</w:t>
            </w:r>
          </w:p>
        </w:tc>
        <w:tc>
          <w:tcPr>
            <w:tcW w:w="3905" w:type="dxa"/>
            <w:shd w:fill="FFFFFF"/>
            <w:vAlign w:val="top"/>
          </w:tcPr>
          <w:p>
            <w:pPr>
              <w:pStyle w:val="Compact"/>
              <w:keepLines/>
              <w:widowControl/>
              <w:spacing w:before="0" w:after="40" w:line="240" w:lineRule="auto"/>
              <w:jc w:val="center"/>
            </w:pPr>
            <w:r>
              <w:rPr>
                <w:sz w:val="20"/>
                <w:szCs w:val="20"/>
              </w:rPr>
              <w:t xml:space="preserve">Ruhen kur</w:t>
            </w:r>
            <w:r>
              <w:rPr>
                <w:sz w:val="20"/>
                <w:szCs w:val="20"/>
              </w:rPr>
              <w:t xml:space="preserve"> </w:t>
            </w:r>
            <ns5:oMath>
              <ns5:r>
                <ns5:t>b</ns5:t>
              </ns5:r>
              <ns5:r>
                <ns5:rPr>
                  <ns5:sty ns5:val="p"/>
                </ns5:rPr>
                <ns5:t>&gt;</ns5:t>
              </ns5:r>
              <ns5:r>
                <ns5:t>0</ns5:t>
              </ns5:r>
            </ns5:oMath>
          </w:p>
        </w:tc>
        <w:tc>
          <w:tcPr>
            <w:tcW w:w="3143" w:type="dxa"/>
            <w:shd w:fill="FFFFFF"/>
            <w:vAlign w:val="top"/>
          </w:tcPr>
          <w:p>
            <w:pPr>
              <w:pStyle w:val="Compact"/>
              <w:keepLines/>
              <w:widowControl/>
              <w:spacing w:before="0" w:after="40" w:line="240" w:lineRule="auto"/>
              <w:jc w:val="center"/>
            </w:pPr>
            <w:r>
              <w:rPr>
                <w:sz w:val="20"/>
                <w:szCs w:val="20"/>
              </w:rPr>
              <w:t xml:space="preserve">Përmbysen kur</w:t>
            </w:r>
            <w:r>
              <w:rPr>
                <w:sz w:val="20"/>
                <w:szCs w:val="20"/>
              </w:rPr>
              <w:t xml:space="preserve"> </w:t>
            </w:r>
            <ns5:oMath>
              <ns5:r>
                <ns5:t>b</ns5:t>
              </ns5:r>
              <ns5:r>
                <ns5:rPr>
                  <ns5:sty ns5:val="p"/>
                </ns5:rPr>
                <ns5:t>&lt;</ns5:t>
              </ns5:r>
              <ns5:r>
                <ns5:t>0</ns5:t>
              </ns5:r>
            </ns5:oMath>
          </w:p>
        </w:tc>
      </w:tr>
    </w:tbl>
    <w:bookmarkEnd w:id="33"/>
    <w:p/>
    <w:p>
      <w:pPr>
        <w:pStyle w:val="BodyText"/>
      </w:pPr>
      <w:r>
        <w:t xml:space="preserve">Mesatarja e transformuar ndjek formulën</w:t>
      </w:r>
      <w:r>
        <w:t xml:space="preserve"> </w:t>
      </w: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oMath>
      <w:r>
        <w:t xml:space="preserve">. Zhvendosja</w:t>
      </w:r>
      <w:r>
        <w:t xml:space="preserve"> </w:t>
      </w:r>
      <ns5:oMath>
        <ns5:r>
          <ns5:t>a</ns5:t>
        </ns5:r>
      </ns5:oMath>
      <w:r>
        <w:t xml:space="preserve"> </w:t>
      </w:r>
      <w:r>
        <w:t xml:space="preserve">e lëviz mesataren, por nuk ndikon në ndryshueshmëri, ndërsa</w:t>
      </w:r>
      <w:r>
        <w:t xml:space="preserve"> </w:t>
      </w:r>
      <ns5:oMath>
        <ns5:d>
          <ns5:dPr>
            <ns5:begChr ns5:val="|"/>
            <ns5:sepChr ns5:val=""/>
            <ns5:endChr ns5:val="|"/>
            <ns5:grow/>
          </ns5:dPr>
          <ns5:e>
            <ns5:r>
              <ns5:t>b</ns5:t>
            </ns5:r>
          </ns5:e>
        </ns5:d>
      </ns5:oMath>
      <w:r>
        <w:t xml:space="preserve"> </w:t>
      </w:r>
      <w:r>
        <w:t xml:space="preserve">i shkallëzon largësitë dhe devijimin standard. Kur</w:t>
      </w:r>
      <w:r>
        <w:t xml:space="preserve"> </w:t>
      </w:r>
      <ns5:oMath>
        <ns5:r>
          <ns5:t>b</ns5:t>
        </ns5:r>
      </ns5:oMath>
      <w:r>
        <w:t xml:space="preserve"> </w:t>
      </w:r>
      <w:r>
        <w:t xml:space="preserve">është negativ, shpërndarja pasqyrohet dhe renditja përmbyset.</w:t>
      </w:r>
    </w:p>
    <w:p>
      <w:pPr>
        <w:pBdr>
          <w:bottom w:val="single" w:sz="4" w:space="6" w:color="B8C6CF"/>
        </w:pBdr>
        <w:spacing w:before="60" w:after="100"/>
      </w:pPr>
    </w:p>
    <w:bookmarkEnd w:id="34"/>
    <w:bookmarkStart w:id="35" w:name="transformimi-z"/>
    <w:p>
      <w:pPr>
        <w:pStyle w:val="Heading2"/>
      </w:pPr>
      <w:r>
        <w:t xml:space="preserve">Transformimi z</w:t>
      </w:r>
    </w:p>
    <w:p>
      <w:pPr>
        <w:pStyle w:val="FirstParagraph"/>
      </w:pPr>
      <w:r>
        <w:t xml:space="preserve">Për një kampion jokonstant me</w:t>
      </w:r>
      <w:r>
        <w:t xml:space="preserve"> </w:t>
      </w:r>
      <ns5:oMath>
        <ns5:r>
          <ns5:t>s</ns5:t>
        </ns5:r>
      </ns5:oMath>
      <w:r>
        <w:t xml:space="preserve"> </w:t>
      </w:r>
      <w:r>
        <w:t xml:space="preserve">të përcaktuar e jozero, transformimi z</w:t>
      </w:r>
      <w:r>
        <w:t xml:space="preserve"> </w:t>
      </w:r>
      <ns5:oMath>
        <ns5:sSub>
          <ns5:e>
            <ns5:r>
              <ns5:t>z</ns5:t>
            </ns5:r>
          </ns5:e>
          <ns5:sub>
            <ns5:r>
              <ns5:t>i</ns5:t>
            </ns5:r>
          </ns5:sub>
        </ns5:sSub>
        <ns5:r>
          <ns5:rPr>
            <ns5:sty ns5:val="p"/>
          </ns5:rPr>
          <ns5:t>=</ns5:t>
        </ns5:r>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r>
          <ns5:rPr>
            <ns5:sty ns5:val="p"/>
          </ns5:rPr>
          <ns5:t>/</ns5:t>
        </ns5:r>
        <ns5:r>
          <ns5:t>s</ns5:t>
        </ns5:r>
      </ns5:oMath>
      <w:r>
        <w:t xml:space="preserve"> </w:t>
      </w:r>
      <w:r>
        <w:t xml:space="preserve">prodhon mesatare të kampionit 0 dhe SD të kampionit 1.</w:t>
      </w:r>
    </w:p>
    <w:p>
      <w:pPr>
        <w:pStyle w:val="BodyText"/>
      </w:pPr>
      <w:r>
        <w:t xml:space="preserve">Pikëzimi z të tregon sa devijime standarde mbi ose nën mesataren e referimit gjendet një vrojtim. Krahasimi i pikëzimeve z ndërmjet instrumenteve kërkon të njëjtin konstrukt, grupe të përshtatshme referimi dhe cilësi të krahasueshme të matjes.</w:t>
      </w:r>
    </w:p>
    <w:p>
      <w:pPr>
        <w:pBdr>
          <w:bottom w:val="single" w:sz="4" w:space="6" w:color="B8C6CF"/>
        </w:pBdr>
        <w:spacing w:before="60" w:after="100"/>
      </w:pPr>
    </w:p>
    <w:bookmarkEnd w:id="35"/>
    <w:bookmarkStart w:id="37" w:name="Xbb188b89ea171c031d6a5d1c9612db3f4119273"/>
    <w:p>
      <w:pPr>
        <w:pStyle w:val="Heading2"/>
      </w:pPr>
      <w:r>
        <w:t xml:space="preserve">Zgjedhja e diagramit sipas nivelit të shkallës</w:t>
      </w:r>
    </w:p>
    <w:bookmarkStart w:id="36" w:name="tbl-summary-diagrams"/>
    <w:p>
      <w:pPr>
        <w:pStyle w:val="TableCaption"/>
        <w:keepNext/>
        <w:keepLines/>
        <w:widowControl/>
        <w:spacing w:before="120" w:after="80"/>
        <w:jc w:val="left"/>
      </w:pPr>
      <w:r>
        <w:t xml:space="preserve">Tabela 7: Zgjedhja e diagramit sipas nivelit të matjes.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905"/>
        <w:gridCol w:w="5619"/>
      </w:tblGrid>
      <w:tr>
        <w:trPr>
          <w:cantSplit/>
          <w:tblHeader w:val="on"/>
        </w:trPr>
        <w:tc>
          <w:tcPr>
            <w:tcW w:w="3905" w:type="dxa"/>
            <w:shd w:fill="EAF2F6"/>
            <w:vAlign w:val="center"/>
          </w:tcPr>
          <w:p>
            <w:pPr>
              <w:pStyle w:val="Compact"/>
              <w:keepLines/>
              <w:widowControl/>
              <w:spacing w:before="0" w:after="40" w:line="240" w:lineRule="auto"/>
              <w:jc w:val="left"/>
            </w:pPr>
            <w:r>
              <w:rPr>
                <w:b/>
                <w:color w:val="183B56"/>
                <w:sz w:val="20"/>
                <w:szCs w:val="20"/>
              </w:rPr>
              <w:t xml:space="preserve">Niveli i shkallës</w:t>
            </w:r>
          </w:p>
        </w:tc>
        <w:tc>
          <w:tcPr>
            <w:tcW w:w="5619" w:type="dxa"/>
            <w:shd w:fill="EAF2F6"/>
            <w:vAlign w:val="center"/>
          </w:tcPr>
          <w:p>
            <w:pPr>
              <w:pStyle w:val="Compact"/>
              <w:keepLines/>
              <w:widowControl/>
              <w:spacing w:before="0" w:after="40" w:line="240" w:lineRule="auto"/>
              <w:jc w:val="left"/>
            </w:pPr>
            <w:r>
              <w:rPr>
                <w:b/>
                <w:color w:val="183B56"/>
                <w:sz w:val="20"/>
                <w:szCs w:val="20"/>
              </w:rPr>
              <w:t xml:space="preserve">Diagrami i përshtatshëm</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Nominal</w:t>
            </w:r>
          </w:p>
        </w:tc>
        <w:tc>
          <w:tcPr>
            <w:tcW w:w="5619" w:type="dxa"/>
            <w:shd w:fill="F3F7F9"/>
            <w:vAlign w:val="top"/>
          </w:tcPr>
          <w:p>
            <w:pPr>
              <w:pStyle w:val="Compact"/>
              <w:keepLines/>
              <w:widowControl/>
              <w:spacing w:before="0" w:after="40" w:line="240" w:lineRule="auto"/>
              <w:jc w:val="center"/>
            </w:pPr>
            <w:r>
              <w:rPr>
                <w:sz w:val="20"/>
                <w:szCs w:val="20"/>
              </w:rPr>
              <w:t xml:space="preserve">Diagram me shtylla, diagram rrethor</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Rendor</w:t>
            </w:r>
          </w:p>
        </w:tc>
        <w:tc>
          <w:tcPr>
            <w:tcW w:w="5619" w:type="dxa"/>
            <w:shd w:fill="FFFFFF"/>
            <w:vAlign w:val="top"/>
          </w:tcPr>
          <w:p>
            <w:pPr>
              <w:pStyle w:val="Compact"/>
              <w:keepLines/>
              <w:widowControl/>
              <w:spacing w:before="0" w:after="40" w:line="240" w:lineRule="auto"/>
              <w:jc w:val="center"/>
            </w:pPr>
            <w:r>
              <w:rPr>
                <w:sz w:val="20"/>
                <w:szCs w:val="20"/>
              </w:rPr>
              <w:t xml:space="preserve">Diagram i renditur me shtylla</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Metrik (intervalor, i raportit, absolut)</w:t>
            </w:r>
          </w:p>
        </w:tc>
        <w:tc>
          <w:tcPr>
            <w:tcW w:w="5619" w:type="dxa"/>
            <w:shd w:fill="F3F7F9"/>
            <w:vAlign w:val="top"/>
          </w:tcPr>
          <w:p>
            <w:pPr>
              <w:pStyle w:val="Compact"/>
              <w:keepLines/>
              <w:widowControl/>
              <w:spacing w:before="0" w:after="40" w:line="240" w:lineRule="auto"/>
              <w:jc w:val="center"/>
            </w:pPr>
            <w:r>
              <w:rPr>
                <w:sz w:val="20"/>
                <w:szCs w:val="20"/>
              </w:rPr>
              <w:t xml:space="preserve">Histogram, diagram kuti-me-mustaqe</w:t>
            </w:r>
          </w:p>
        </w:tc>
      </w:tr>
    </w:tbl>
    <w:bookmarkEnd w:id="36"/>
    <w:p/>
    <w:p>
      <w:pPr>
        <w:pStyle w:val="BodyText"/>
      </w:pPr>
      <w:r>
        <w:t xml:space="preserve">Në histograme,</w:t>
      </w:r>
      <w:r>
        <w:t xml:space="preserve"> </w:t>
      </w:r>
      <w:r>
        <w:rPr>
          <w:b/>
          <w:bCs/>
        </w:rPr>
        <w:t xml:space="preserve">sipërfaqja është në përpjesëtim me frekuencën</w:t>
      </w:r>
      <w:r>
        <w:t xml:space="preserve">. Kur klasat kanë gjerësi të barabartë, lartësia dhe sipërfaqja e paraqesin drejt frekuencën. Kur gjerësitë nuk janë të barabarta, lartësia e dendësisë është</w:t>
      </w:r>
      <w:r>
        <w:t xml:space="preserve"> </w:t>
      </w:r>
      <ns5:oMath>
        <ns5:sSub>
          <ns5:e>
            <ns5:r>
              <ns5:t>f</ns5:t>
            </ns5:r>
          </ns5:e>
          <ns5:sub>
            <ns5:r>
              <ns5:t>j</ns5:t>
            </ns5:r>
          </ns5:sub>
        </ns5:sSub>
        <ns5:r>
          <ns5:rPr>
            <ns5:sty ns5:val="p"/>
          </ns5:rPr>
          <ns5:t>/</ns5:t>
        </ns5:r>
        <ns5:sSub>
          <ns5:e>
            <ns5:r>
              <ns5:t>w</ns5:t>
            </ns5:r>
          </ns5:e>
          <ns5:sub>
            <ns5:r>
              <ns5:t>j</ns5:t>
            </ns5:r>
          </ns5:sub>
        </ns5:sSub>
      </ns5:oMath>
      <w:r>
        <w:t xml:space="preserve">. Krahaso disa gjerësi të arsyeshme të klasave, sepse forma e dukshme mund të ndryshojë sipas grupimit.</w:t>
      </w:r>
    </w:p>
    <w:p>
      <w:pPr>
        <w:pBdr>
          <w:bottom w:val="single" w:sz="4" w:space="6" w:color="B8C6CF"/>
        </w:pBdr>
        <w:spacing w:before="60" w:after="100"/>
      </w:pPr>
    </w:p>
    <w:bookmarkEnd w:id="37"/>
    <w:bookmarkStart w:id="39" w:name="format-e-shpërndarjes"/>
    <w:p>
      <w:pPr>
        <w:pStyle w:val="Heading2"/>
      </w:pPr>
      <w:r>
        <w:t xml:space="preserve">Format e shpërndarjes</w:t>
      </w:r>
    </w:p>
    <w:bookmarkStart w:id="38" w:name="tbl-summary-distribution-shapes"/>
    <w:p>
      <w:pPr>
        <w:pStyle w:val="TableCaption"/>
        <w:keepNext/>
        <w:keepLines/>
        <w:widowControl/>
        <w:spacing w:before="120" w:after="80"/>
        <w:jc w:val="left"/>
      </w:pPr>
      <w:r>
        <w:t xml:space="preserve">Tabela 8: Përmasa të pavarura që përdoren për të përshkruar formën e shpërndarjes.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143"/>
        <w:gridCol w:w="3905"/>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Forma</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Veçoria kryesore</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Implikimi për interpretim</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Simetrike</w:t>
            </w:r>
          </w:p>
        </w:tc>
        <w:tc>
          <w:tcPr>
            <w:tcW w:w="3143" w:type="dxa"/>
            <w:shd w:fill="F3F7F9"/>
            <w:vAlign w:val="top"/>
          </w:tcPr>
          <w:p>
            <w:pPr>
              <w:pStyle w:val="Compact"/>
              <w:keepLines/>
              <w:widowControl/>
              <w:spacing w:before="0" w:after="40" w:line="240" w:lineRule="auto"/>
              <w:jc w:val="center"/>
            </w:pPr>
            <w:r>
              <w:rPr>
                <w:sz w:val="20"/>
                <w:szCs w:val="20"/>
              </w:rPr>
              <w:t xml:space="preserve">Bishta të barabartë në të dyja anët</w:t>
            </w:r>
          </w:p>
        </w:tc>
        <w:tc>
          <w:tcPr>
            <w:tcW w:w="3905" w:type="dxa"/>
            <w:shd w:fill="F3F7F9"/>
            <w:vAlign w:val="top"/>
          </w:tcPr>
          <w:p>
            <w:pPr>
              <w:pStyle w:val="Compact"/>
              <w:keepLines/>
              <w:widowControl/>
              <w:spacing w:before="0" w:after="40" w:line="240" w:lineRule="auto"/>
              <w:jc w:val="center"/>
            </w:pPr>
            <w:r>
              <w:rPr>
                <w:sz w:val="20"/>
                <w:szCs w:val="20"/>
              </w:rPr>
              <w:t xml:space="preserve">Mesatarja dhe mediana janë pranë</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E anuar djathtas</w:t>
            </w:r>
          </w:p>
        </w:tc>
        <w:tc>
          <w:tcPr>
            <w:tcW w:w="3143" w:type="dxa"/>
            <w:shd w:fill="FFFFFF"/>
            <w:vAlign w:val="top"/>
          </w:tcPr>
          <w:p>
            <w:pPr>
              <w:pStyle w:val="Compact"/>
              <w:keepLines/>
              <w:widowControl/>
              <w:spacing w:before="0" w:after="40" w:line="240" w:lineRule="auto"/>
              <w:jc w:val="center"/>
            </w:pPr>
            <w:r>
              <w:rPr>
                <w:sz w:val="20"/>
                <w:szCs w:val="20"/>
              </w:rPr>
              <w:t xml:space="preserve">Bisht i gjatë drejt vlerave të larta</w:t>
            </w:r>
          </w:p>
        </w:tc>
        <w:tc>
          <w:tcPr>
            <w:tcW w:w="3905" w:type="dxa"/>
            <w:shd w:fill="FFFFFF"/>
            <w:vAlign w:val="top"/>
          </w:tcPr>
          <w:p>
            <w:pPr>
              <w:pStyle w:val="Compact"/>
              <w:keepLines/>
              <w:widowControl/>
              <w:spacing w:before="0" w:after="40" w:line="240" w:lineRule="auto"/>
              <w:jc w:val="center"/>
            </w:pPr>
            <w:r>
              <w:rPr>
                <w:sz w:val="20"/>
                <w:szCs w:val="20"/>
              </w:rPr>
              <w:t xml:space="preserve">Mesatarja shpesh e tejkalon medianën; verifikoje grafikisht</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E anuar majtas</w:t>
            </w:r>
          </w:p>
        </w:tc>
        <w:tc>
          <w:tcPr>
            <w:tcW w:w="3143" w:type="dxa"/>
            <w:shd w:fill="F3F7F9"/>
            <w:vAlign w:val="top"/>
          </w:tcPr>
          <w:p>
            <w:pPr>
              <w:pStyle w:val="Compact"/>
              <w:keepLines/>
              <w:widowControl/>
              <w:spacing w:before="0" w:after="40" w:line="240" w:lineRule="auto"/>
              <w:jc w:val="center"/>
            </w:pPr>
            <w:r>
              <w:rPr>
                <w:sz w:val="20"/>
                <w:szCs w:val="20"/>
              </w:rPr>
              <w:t xml:space="preserve">Bisht i gjatë drejt vlerave të ulëta</w:t>
            </w:r>
          </w:p>
        </w:tc>
        <w:tc>
          <w:tcPr>
            <w:tcW w:w="3905" w:type="dxa"/>
            <w:shd w:fill="F3F7F9"/>
            <w:vAlign w:val="top"/>
          </w:tcPr>
          <w:p>
            <w:pPr>
              <w:pStyle w:val="Compact"/>
              <w:keepLines/>
              <w:widowControl/>
              <w:spacing w:before="0" w:after="40" w:line="240" w:lineRule="auto"/>
              <w:jc w:val="center"/>
            </w:pPr>
            <w:r>
              <w:rPr>
                <w:sz w:val="20"/>
                <w:szCs w:val="20"/>
              </w:rPr>
              <w:t xml:space="preserve">Mesatarja shpesh bie nën medianë; verifikoje grafikisht</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Unimodale</w:t>
            </w:r>
          </w:p>
        </w:tc>
        <w:tc>
          <w:tcPr>
            <w:tcW w:w="3143" w:type="dxa"/>
            <w:shd w:fill="FFFFFF"/>
            <w:vAlign w:val="top"/>
          </w:tcPr>
          <w:p>
            <w:pPr>
              <w:pStyle w:val="Compact"/>
              <w:keepLines/>
              <w:widowControl/>
              <w:spacing w:before="0" w:after="40" w:line="240" w:lineRule="auto"/>
              <w:jc w:val="center"/>
            </w:pPr>
            <w:r>
              <w:rPr>
                <w:sz w:val="20"/>
                <w:szCs w:val="20"/>
              </w:rPr>
              <w:t xml:space="preserve">Një kulm</w:t>
            </w:r>
          </w:p>
        </w:tc>
        <w:tc>
          <w:tcPr>
            <w:tcW w:w="3905" w:type="dxa"/>
            <w:shd w:fill="FFFFFF"/>
            <w:vAlign w:val="top"/>
          </w:tcPr>
          <w:p>
            <w:pPr>
              <w:pStyle w:val="Compact"/>
              <w:keepLines/>
              <w:widowControl/>
              <w:spacing w:before="0" w:after="40" w:line="240" w:lineRule="auto"/>
              <w:jc w:val="center"/>
            </w:pPr>
            <w:r>
              <w:rPr>
                <w:sz w:val="20"/>
                <w:szCs w:val="20"/>
              </w:rPr>
              <w:t xml:space="preserve">Një përqendrim kryesor, që përmblidhet sipas formës së tij</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Bimodale</w:t>
            </w:r>
          </w:p>
        </w:tc>
        <w:tc>
          <w:tcPr>
            <w:tcW w:w="3143" w:type="dxa"/>
            <w:shd w:fill="F3F7F9"/>
            <w:vAlign w:val="top"/>
          </w:tcPr>
          <w:p>
            <w:pPr>
              <w:pStyle w:val="Compact"/>
              <w:keepLines/>
              <w:widowControl/>
              <w:spacing w:before="0" w:after="40" w:line="240" w:lineRule="auto"/>
              <w:jc w:val="center"/>
            </w:pPr>
            <w:r>
              <w:rPr>
                <w:sz w:val="20"/>
                <w:szCs w:val="20"/>
              </w:rPr>
              <w:t xml:space="preserve">Dy kulme</w:t>
            </w:r>
          </w:p>
        </w:tc>
        <w:tc>
          <w:tcPr>
            <w:tcW w:w="3905" w:type="dxa"/>
            <w:shd w:fill="F3F7F9"/>
            <w:vAlign w:val="top"/>
          </w:tcPr>
          <w:p>
            <w:pPr>
              <w:pStyle w:val="Compact"/>
              <w:keepLines/>
              <w:widowControl/>
              <w:spacing w:before="0" w:after="40" w:line="240" w:lineRule="auto"/>
              <w:jc w:val="center"/>
            </w:pPr>
            <w:r>
              <w:rPr>
                <w:sz w:val="20"/>
                <w:szCs w:val="20"/>
              </w:rPr>
              <w:t xml:space="preserve">Paraqiti dhe hetoji të dy kulmet; mos supozo nëngrupe</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Kurtozë e lartë</w:t>
            </w:r>
          </w:p>
        </w:tc>
        <w:tc>
          <w:tcPr>
            <w:tcW w:w="3143" w:type="dxa"/>
            <w:shd w:fill="FFFFFF"/>
            <w:vAlign w:val="top"/>
          </w:tcPr>
          <w:p>
            <w:pPr>
              <w:pStyle w:val="Compact"/>
              <w:keepLines/>
              <w:widowControl/>
              <w:spacing w:before="0" w:after="40" w:line="240" w:lineRule="auto"/>
              <w:jc w:val="center"/>
            </w:pPr>
            <w:r>
              <w:rPr>
                <w:sz w:val="20"/>
                <w:szCs w:val="20"/>
              </w:rPr>
              <w:t xml:space="preserve">Peshë më e madhe në devijimet e skajshme</w:t>
            </w:r>
          </w:p>
        </w:tc>
        <w:tc>
          <w:tcPr>
            <w:tcW w:w="3905" w:type="dxa"/>
            <w:shd w:fill="FFFFFF"/>
            <w:vAlign w:val="top"/>
          </w:tcPr>
          <w:p>
            <w:pPr>
              <w:pStyle w:val="Compact"/>
              <w:keepLines/>
              <w:widowControl/>
              <w:spacing w:before="0" w:after="40" w:line="240" w:lineRule="auto"/>
              <w:jc w:val="center"/>
            </w:pPr>
            <w:r>
              <w:rPr>
                <w:sz w:val="20"/>
                <w:szCs w:val="20"/>
              </w:rPr>
              <w:t xml:space="preserve">Më e prirur për vrojtime të largëta</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Kurtozë e ulët</w:t>
            </w:r>
          </w:p>
        </w:tc>
        <w:tc>
          <w:tcPr>
            <w:tcW w:w="3143" w:type="dxa"/>
            <w:shd w:fill="F3F7F9"/>
            <w:vAlign w:val="top"/>
          </w:tcPr>
          <w:p>
            <w:pPr>
              <w:pStyle w:val="Compact"/>
              <w:keepLines/>
              <w:widowControl/>
              <w:spacing w:before="0" w:after="40" w:line="240" w:lineRule="auto"/>
              <w:jc w:val="center"/>
            </w:pPr>
            <w:r>
              <w:rPr>
                <w:sz w:val="20"/>
                <w:szCs w:val="20"/>
              </w:rPr>
              <w:t xml:space="preserve">Peshë më e vogël në devijimet e skajshme</w:t>
            </w:r>
          </w:p>
        </w:tc>
        <w:tc>
          <w:tcPr>
            <w:tcW w:w="3905" w:type="dxa"/>
            <w:shd w:fill="F3F7F9"/>
            <w:vAlign w:val="top"/>
          </w:tcPr>
          <w:p>
            <w:pPr>
              <w:pStyle w:val="Compact"/>
              <w:keepLines/>
              <w:widowControl/>
              <w:spacing w:before="0" w:after="40" w:line="240" w:lineRule="auto"/>
              <w:jc w:val="center"/>
            </w:pPr>
            <w:r>
              <w:rPr>
                <w:sz w:val="20"/>
                <w:szCs w:val="20"/>
              </w:rPr>
              <w:t xml:space="preserve">Më pak e prirur për vrojtime të largëta</w:t>
            </w:r>
          </w:p>
        </w:tc>
      </w:tr>
    </w:tbl>
    <w:bookmarkEnd w:id="38"/>
    <w:p/>
    <w:p>
      <w:pPr>
        <w:pStyle w:val="BodyText"/>
      </w:pPr>
      <w:r>
        <w:t xml:space="preserve">Simetria, modaliteti dhe kurtoza mund të bashkëjetojnë në kombinime të ndryshme. Vetëm lartësia e kulmit nuk e përcakton kurtozën.</w:t>
      </w:r>
    </w:p>
    <w:p>
      <w:pPr>
        <w:pBdr>
          <w:bottom w:val="single" w:sz="4" w:space="6" w:color="B8C6CF"/>
        </w:pBdr>
        <w:spacing w:before="60" w:after="100"/>
      </w:pPr>
    </w:p>
    <w:bookmarkEnd w:id="39"/>
    <w:bookmarkStart w:id="40" w:name="grafikë-që-krijojnë-përshtypje-të-rreme"/>
    <w:p>
      <w:pPr>
        <w:pStyle w:val="Heading2"/>
      </w:pPr>
      <w:r>
        <w:t xml:space="preserve">Grafikë që krijojnë përshtypje të rreme</w:t>
      </w:r>
    </w:p>
    <w:p>
      <w:pPr>
        <w:pStyle w:val="FirstParagraph"/>
      </w:pPr>
      <w:r>
        <w:t xml:space="preserve">Grafikët mund të krijojnë përshtypje mashtruese përmes boshteve të shkurtuara, shkallëve të ngjeshura ose të zgjatura dhe klasave të papërshtatshme në histogram. Përqindjet mund të çojnë në përfundime të gabuara kur emëruesi, madhësia e kampionit, metoda e matjes ose të dhënat që mungojnë mbeten të fshehura. Si grafikët, ashtu edhe numrat kërkojnë kontekst dhe matje të vlefshme.</w:t>
      </w:r>
    </w:p>
    <w:p>
      <w:pPr>
        <w:pBdr>
          <w:bottom w:val="single" w:sz="4" w:space="6" w:color="B8C6CF"/>
        </w:pBdr>
        <w:spacing w:before="60" w:after="100"/>
      </w:pPr>
    </w:p>
    <w:bookmarkEnd w:id="40"/>
    <w:bookmarkStart w:id="41" w:name="X27cc1690bdca9f3dd8d72f00a44829726831b3a"/>
    <w:p>
      <w:pPr>
        <w:pStyle w:val="Heading2"/>
      </w:pPr>
      <w:r>
        <w:t xml:space="preserve">Çfarë duhet të jesh në gjendje të bësh tani</w:t>
      </w:r>
    </w:p>
    <w:p>
      <w:pPr>
        <w:pStyle w:val="FirstParagraph"/>
      </w:pPr>
      <w:r>
        <w:t xml:space="preserve">Tani duhet të jesh në gjendje të identifikosh rastet, ndryshoret, vlerat dhe nivelet e matjes; të lexosh shënimin që përdoret në mesatare, varianca dhe pikëzime z; të ndërtosh dhe interpretosh përmbledhje frekuencash; të zgjedhësh masa të përputhshme të qendrës dhe shpërhapjes; të krahasosh shpërndarje me tabela dhe grafikë; të parashikosh ndikimet e transformimeve lineare; të standardizosh vrojtime; dhe të dallosh zgjedhje paraqitjeje që mund ta shtrembërojnë një mesazh statistikor. Duhet gjithashtu të jesh në gjendje t’i shprehësh kufijtë e një përfundimi përshkrues pa e kthyer një model të vrojtuar në pohim për popullatën ose në pohim shkakor.</w:t>
      </w:r>
    </w:p>
    <w:bookmarkEnd w:id="41"/>
    <w:bookmarkEnd w:id="42"/>
    <w:bookmarkStart w:id="53" w:name="referencë-e-zgjeruar"/>
    <w:p>
      <w:pPr>
        <w:pStyle w:val="Heading1"/>
        <w:pageBreakBefore/>
      </w:pPr>
      <w:r>
        <w:t xml:space="preserve">Referencë e zgjeruar</w:t>
      </w:r>
    </w:p>
    <w:bookmarkStart w:id="43" w:name="qëllimi-dhe-bazat"/>
    <w:p>
      <w:pPr>
        <w:pStyle w:val="Heading2"/>
      </w:pPr>
      <w:r>
        <w:t xml:space="preserve">Qëllimi dhe bazat</w:t>
      </w:r>
    </w:p>
    <w:p>
      <w:pPr>
        <w:pStyle w:val="FirstParagraph"/>
      </w:pPr>
      <w:r>
        <w:t xml:space="preserve">Statistika përshkruese të jep një mënyrë të rregullt për ta kthyer një grup vrojtimesh në një përshkrim të kuptueshëm të asaj që është vrojtuar. Fillo duke përcaktuar</w:t>
      </w:r>
      <w:r>
        <w:t xml:space="preserve"> </w:t>
      </w:r>
      <w:r>
        <w:rPr>
          <w:b/>
          <w:bCs/>
        </w:rPr>
        <w:t xml:space="preserve">rastet</w:t>
      </w:r>
      <w:r>
        <w:t xml:space="preserve">, pra njerëzit ose njësitë që përfaqësohen nga rreshtat e një grupi të dhënash, dhe</w:t>
      </w:r>
      <w:r>
        <w:t xml:space="preserve"> </w:t>
      </w:r>
      <w:r>
        <w:rPr>
          <w:b/>
          <w:bCs/>
        </w:rPr>
        <w:t xml:space="preserve">ndryshoret</w:t>
      </w:r>
      <w:r>
        <w:t xml:space="preserve">, pra karakteristikat e regjistruara në kolonat e tij. Një vlerë është një rezultat i regjistruar për një ndryshore te një rast. Para se të llogaritësh, pyet çfarë do të thotë ndryshorja, si është matur dhe cilat vlera mund të marrë. Kjo e parandalon një llogaritje matematikisht të saktë të kthehet në një përshkrim çorientues.</w:t>
      </w:r>
    </w:p>
    <w:p>
      <w:pPr>
        <w:pStyle w:val="BodyText"/>
      </w:pPr>
      <w:r>
        <w:t xml:space="preserve">Niveli i matjes udhëzon çfarë mund të bësh në mënyrë të arsyeshme me një ndryshore. Një ndryshore nominale i ndan rastet në kategori pa rend. Një ndryshore rendore ka kategori të renditura, por largësitë mes kategorive fqinje nuk dihet nëse janë të barabarta. Një ndryshore intervalore ka largësi të barabarta me kuptim, por nuk ka një zero absolute me kuptim. Një ndryshore e raportit ka largësi të barabarta dhe një zero me kuptim, prandaj mund të interpretohen edhe raportet. Niveli i matjes është veti e mënyrës si përkufizohet dhe matet ndryshorja. Ai nuk varet nga pamja që marrin vlerat e saj në një grup të vetëm të dhënash.</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286"/>
        <w:gridCol w:w="3619"/>
        <w:gridCol w:w="3619"/>
      </w:tblGrid>
      <w:tr>
        <w:trPr>
          <w:cantSplit/>
          <w:tblHeader w:val="on"/>
        </w:trPr>
        <w:tc>
          <w:tcPr>
            <w:tcW w:w="2286" w:type="dxa"/>
            <w:shd w:fill="EAF2F6"/>
            <w:vAlign w:val="center"/>
          </w:tcPr>
          <w:p>
            <w:pPr>
              <w:pStyle w:val="Compact"/>
              <w:keepLines/>
              <w:widowControl/>
              <w:spacing w:before="0" w:after="40" w:line="240" w:lineRule="auto"/>
              <w:jc w:val="left"/>
            </w:pPr>
            <w:r>
              <w:rPr>
                <w:b/>
                <w:color w:val="183B56"/>
                <w:sz w:val="20"/>
                <w:szCs w:val="20"/>
              </w:rPr>
              <w:t xml:space="preserve">Shkalla</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Çfarë tregojnë vlerat</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Përmbledhje të përshtatshme fillestare</w:t>
            </w:r>
          </w:p>
        </w:tc>
      </w:tr>
      <w:tr>
        <w:trPr>
          <w:cantSplit/>
        </w:trPr>
        <w:tc>
          <w:tcPr>
            <w:tcW w:w="2286" w:type="dxa"/>
            <w:shd w:fill="F3F7F9"/>
            <w:vAlign w:val="top"/>
          </w:tcPr>
          <w:p>
            <w:pPr>
              <w:pStyle w:val="Compact"/>
              <w:keepLines/>
              <w:widowControl/>
              <w:spacing w:before="0" w:after="40" w:line="240" w:lineRule="auto"/>
              <w:jc w:val="left"/>
            </w:pPr>
            <w:r>
              <w:rPr>
                <w:sz w:val="20"/>
                <w:szCs w:val="20"/>
              </w:rPr>
              <w:t xml:space="preserve">Nominale</w:t>
            </w:r>
          </w:p>
        </w:tc>
        <w:tc>
          <w:tcPr>
            <w:tcW w:w="3619" w:type="dxa"/>
            <w:shd w:fill="F3F7F9"/>
            <w:vAlign w:val="top"/>
          </w:tcPr>
          <w:p>
            <w:pPr>
              <w:pStyle w:val="Compact"/>
              <w:keepLines/>
              <w:widowControl/>
              <w:spacing w:before="0" w:after="40" w:line="240" w:lineRule="auto"/>
              <w:jc w:val="left"/>
            </w:pPr>
            <w:r>
              <w:rPr>
                <w:sz w:val="20"/>
                <w:szCs w:val="20"/>
              </w:rPr>
              <w:t xml:space="preserve">Nëse rastet i përkasin së njëjtës kategori apo kategorive të ndryshme</w:t>
            </w:r>
          </w:p>
        </w:tc>
        <w:tc>
          <w:tcPr>
            <w:tcW w:w="3619" w:type="dxa"/>
            <w:shd w:fill="F3F7F9"/>
            <w:vAlign w:val="top"/>
          </w:tcPr>
          <w:p>
            <w:pPr>
              <w:pStyle w:val="Compact"/>
              <w:keepLines/>
              <w:widowControl/>
              <w:spacing w:before="0" w:after="40" w:line="240" w:lineRule="auto"/>
              <w:jc w:val="left"/>
            </w:pPr>
            <w:r>
              <w:rPr>
                <w:sz w:val="20"/>
                <w:szCs w:val="20"/>
              </w:rPr>
              <w:t xml:space="preserve">Frekuencat, përpjesëtimet, moda</w:t>
            </w:r>
          </w:p>
        </w:tc>
      </w:tr>
      <w:tr>
        <w:trPr>
          <w:cantSplit/>
        </w:trPr>
        <w:tc>
          <w:tcPr>
            <w:tcW w:w="2286" w:type="dxa"/>
            <w:shd w:fill="FFFFFF"/>
            <w:vAlign w:val="top"/>
          </w:tcPr>
          <w:p>
            <w:pPr>
              <w:pStyle w:val="Compact"/>
              <w:keepLines/>
              <w:widowControl/>
              <w:spacing w:before="0" w:after="40" w:line="240" w:lineRule="auto"/>
              <w:jc w:val="left"/>
            </w:pPr>
            <w:r>
              <w:rPr>
                <w:sz w:val="20"/>
                <w:szCs w:val="20"/>
              </w:rPr>
              <w:t xml:space="preserve">Rendore</w:t>
            </w:r>
          </w:p>
        </w:tc>
        <w:tc>
          <w:tcPr>
            <w:tcW w:w="3619" w:type="dxa"/>
            <w:shd w:fill="FFFFFF"/>
            <w:vAlign w:val="top"/>
          </w:tcPr>
          <w:p>
            <w:pPr>
              <w:pStyle w:val="Compact"/>
              <w:keepLines/>
              <w:widowControl/>
              <w:spacing w:before="0" w:after="40" w:line="240" w:lineRule="auto"/>
              <w:jc w:val="left"/>
            </w:pPr>
            <w:r>
              <w:rPr>
                <w:sz w:val="20"/>
                <w:szCs w:val="20"/>
              </w:rPr>
              <w:t xml:space="preserve">Përkatësinë në kategori dhe rendin</w:t>
            </w:r>
          </w:p>
        </w:tc>
        <w:tc>
          <w:tcPr>
            <w:tcW w:w="3619" w:type="dxa"/>
            <w:shd w:fill="FFFFFF"/>
            <w:vAlign w:val="top"/>
          </w:tcPr>
          <w:p>
            <w:pPr>
              <w:pStyle w:val="Compact"/>
              <w:keepLines/>
              <w:widowControl/>
              <w:spacing w:before="0" w:after="40" w:line="240" w:lineRule="auto"/>
              <w:jc w:val="left"/>
            </w:pPr>
            <w:r>
              <w:rPr>
                <w:sz w:val="20"/>
                <w:szCs w:val="20"/>
              </w:rPr>
              <w:t xml:space="preserve">Frekuencat, përpjesëtimet, mediana, kuantilet</w:t>
            </w:r>
          </w:p>
        </w:tc>
      </w:tr>
      <w:tr>
        <w:trPr>
          <w:cantSplit/>
        </w:trPr>
        <w:tc>
          <w:tcPr>
            <w:tcW w:w="2286" w:type="dxa"/>
            <w:shd w:fill="F3F7F9"/>
            <w:vAlign w:val="top"/>
          </w:tcPr>
          <w:p>
            <w:pPr>
              <w:pStyle w:val="Compact"/>
              <w:keepLines/>
              <w:widowControl/>
              <w:spacing w:before="0" w:after="40" w:line="240" w:lineRule="auto"/>
              <w:jc w:val="left"/>
            </w:pPr>
            <w:r>
              <w:rPr>
                <w:sz w:val="20"/>
                <w:szCs w:val="20"/>
              </w:rPr>
              <w:t xml:space="preserve">Interval/raport</w:t>
            </w:r>
          </w:p>
        </w:tc>
        <w:tc>
          <w:tcPr>
            <w:tcW w:w="3619" w:type="dxa"/>
            <w:shd w:fill="F3F7F9"/>
            <w:vAlign w:val="top"/>
          </w:tcPr>
          <w:p>
            <w:pPr>
              <w:pStyle w:val="Compact"/>
              <w:keepLines/>
              <w:widowControl/>
              <w:spacing w:before="0" w:after="40" w:line="240" w:lineRule="auto"/>
              <w:jc w:val="left"/>
            </w:pPr>
            <w:r>
              <w:rPr>
                <w:sz w:val="20"/>
                <w:szCs w:val="20"/>
              </w:rPr>
              <w:t xml:space="preserve">Rendin dhe largësinë numerike me kuptim</w:t>
            </w:r>
          </w:p>
        </w:tc>
        <w:tc>
          <w:tcPr>
            <w:tcW w:w="3619" w:type="dxa"/>
            <w:shd w:fill="F3F7F9"/>
            <w:vAlign w:val="top"/>
          </w:tcPr>
          <w:p>
            <w:pPr>
              <w:pStyle w:val="Compact"/>
              <w:keepLines/>
              <w:widowControl/>
              <w:spacing w:before="0" w:after="40" w:line="240" w:lineRule="auto"/>
              <w:jc w:val="left"/>
            </w:pPr>
            <w:r>
              <w:rPr>
                <w:sz w:val="20"/>
                <w:szCs w:val="20"/>
              </w:rPr>
              <w:t xml:space="preserve">Mesatarja, mediana, varianca, devijimi standard, kuantilet</w:t>
            </w:r>
          </w:p>
        </w:tc>
      </w:tr>
    </w:tbl>
    <w:p>
      <w:pPr>
        <w:pStyle w:val="BodyText"/>
      </w:pPr>
      <w:r>
        <w:t xml:space="preserve">Disa nga grupet e të dhënave që përdoren në këtë rrjedhë mësimore janë</w:t>
      </w:r>
      <w:r>
        <w:t xml:space="preserve"> </w:t>
      </w:r>
      <w:r>
        <w:rPr>
          <w:b/>
          <w:bCs/>
        </w:rPr>
        <w:t xml:space="preserve">të dhëna të simuluara</w:t>
      </w:r>
      <w:r>
        <w:t xml:space="preserve">, domethënë vlera të krijuara nga kompjuteri sipas rregullave të deklaruara dhe jo matje të mbledhura nga njerëz realë.</w:t>
      </w:r>
      <w:r>
        <w:t xml:space="preserve"> </w:t>
      </w:r>
      <w:r>
        <w:rPr>
          <w:b/>
          <w:bCs/>
        </w:rPr>
        <w:t xml:space="preserve">Simulimi</w:t>
      </w:r>
      <w:r>
        <w:t xml:space="preserve"> </w:t>
      </w:r>
      <w:r>
        <w:t xml:space="preserve">është procesi që i krijon këto vlera. Kompjuteri përdor një</w:t>
      </w:r>
      <w:r>
        <w:t xml:space="preserve"> </w:t>
      </w:r>
      <w:r>
        <w:rPr>
          <w:b/>
          <w:bCs/>
        </w:rPr>
        <w:t xml:space="preserve">gjenerator të numrave të rastësishëm</w:t>
      </w:r>
      <w:r>
        <w:t xml:space="preserve">, pra një algoritëm të ndërtuar për të prodhuar vlera që sillen si rezultate rastësie.</w:t>
      </w:r>
      <w:r>
        <w:t xml:space="preserve"> </w:t>
      </w:r>
      <w:r>
        <w:rPr>
          <w:b/>
          <w:bCs/>
        </w:rPr>
        <w:t xml:space="preserve">Numri nisës</w:t>
      </w:r>
      <w:r>
        <w:t xml:space="preserve"> </w:t>
      </w:r>
      <w:r>
        <w:t xml:space="preserve">është vlera fillestare që i jepet atij algoritmi. Kur ripërdoret i njëjti numër nisës me të njëjtat udhëzime, rikrijohet i njëjti grup i të dhënave. Kjo e bën shembullin mësimor të riprodhueshëm: ti dhe një person tjetër që mëson mund të shqyrtoni të njëjtat vrojtime dhe të merrni të njëjtat rezultate. Simulimi e mbështet të nxënit, por nuk i shndërron vlerat e krijuara në evidencë për një popullatë reale.</w:t>
      </w:r>
    </w:p>
    <w:bookmarkEnd w:id="43"/>
    <w:bookmarkStart w:id="44" w:name="idetë-kryesore"/>
    <w:p>
      <w:pPr>
        <w:pStyle w:val="Heading2"/>
      </w:pPr>
      <w:r>
        <w:t xml:space="preserve">Idetë kryesore</w:t>
      </w:r>
    </w:p>
    <w:p>
      <w:pPr>
        <w:pStyle w:val="FirstParagraph"/>
      </w:pPr>
      <w:r>
        <w:t xml:space="preserve">Një shpërndarje përshkruan si shtrihen vlerat e një ndryshoreje në diapazonin e tyre të mundshëm. Për një ndryshore kategorike, fillo me një tabelë frekuencash. Frekuenca absolute është numri i rasteve në një kategori. Frekuenca relative është ky numër i pjesëtuar me numrin e përgjithshëm të rasteve të vlefshme. Frekuencat relative mund të paraqiten si përpjesëtime ose përqindje. Kontrollo gjithmonë nëse vlerat që mungojnë janë përjashtuar nga emëruesi, sepse një përqindje ka kuptim vetëm kur dihet totali i saj referues.</w:t>
      </w:r>
    </w:p>
    <w:p>
      <w:pPr>
        <w:pStyle w:val="BodyText"/>
      </w:pPr>
      <w:r>
        <w:t xml:space="preserve">Për një ndryshore numerike, përshkruaj së bashku katër veçori: qendrën, ndryshueshmërinë, formën dhe vrojtimet e pazakonta. Mesatarja përdor çdo vlerë dhe përfaqëson pikën e baraspeshës së shpërndarjes. Mediana është vlera e mesit pasi vlerat renditen dhe i ndan të dhënat në dy gjysma. Moda është vlera ose kategoria më e shpeshtë. Amplituda shtrihet nga vlera më e vogël te vlera më e madhe. Diapazoni ndërkuartilor përfshin gjysmën e mesme të vrojtimeve të renditura. Varianca dhe devijimi standard përmbledhin sa larg priren të jenë vlerat nga mesatarja.</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3524"/>
        <w:gridCol w:w="3143"/>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Pyetja</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Evidencë e dobishme</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Zakon i dobishëm leximi</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Ku gjendet qendra e shpërndarjes?</w:t>
            </w:r>
          </w:p>
        </w:tc>
        <w:tc>
          <w:tcPr>
            <w:tcW w:w="3524" w:type="dxa"/>
            <w:shd w:fill="F3F7F9"/>
            <w:vAlign w:val="top"/>
          </w:tcPr>
          <w:p>
            <w:pPr>
              <w:pStyle w:val="Compact"/>
              <w:keepLines/>
              <w:widowControl/>
              <w:spacing w:before="0" w:after="40" w:line="240" w:lineRule="auto"/>
              <w:jc w:val="left"/>
            </w:pPr>
            <w:r>
              <w:rPr>
                <w:sz w:val="20"/>
                <w:szCs w:val="20"/>
              </w:rPr>
              <w:t xml:space="preserve">Mesatarja, mediana dhe ndonjëherë moda</w:t>
            </w:r>
          </w:p>
        </w:tc>
        <w:tc>
          <w:tcPr>
            <w:tcW w:w="3143" w:type="dxa"/>
            <w:shd w:fill="F3F7F9"/>
            <w:vAlign w:val="top"/>
          </w:tcPr>
          <w:p>
            <w:pPr>
              <w:pStyle w:val="Compact"/>
              <w:keepLines/>
              <w:widowControl/>
              <w:spacing w:before="0" w:after="40" w:line="240" w:lineRule="auto"/>
              <w:jc w:val="left"/>
            </w:pPr>
            <w:r>
              <w:rPr>
                <w:sz w:val="20"/>
                <w:szCs w:val="20"/>
              </w:rPr>
              <w:t xml:space="preserve">Krahaso mesataren me medianën në vend që të raportosh vetëm një numër</w:t>
            </w:r>
          </w:p>
        </w:tc>
      </w:tr>
      <w:tr>
        <w:trPr>
          <w:cantSplit/>
        </w:trPr>
        <w:tc>
          <w:tcPr>
            <w:tcW w:w="2857" w:type="dxa"/>
            <w:shd w:fill="FFFFFF"/>
            <w:vAlign w:val="top"/>
          </w:tcPr>
          <w:p>
            <w:pPr>
              <w:pStyle w:val="Compact"/>
              <w:keepLines/>
              <w:widowControl/>
              <w:spacing w:before="0" w:after="40" w:line="240" w:lineRule="auto"/>
              <w:jc w:val="left"/>
            </w:pPr>
            <w:r>
              <w:rPr>
                <w:sz w:val="20"/>
                <w:szCs w:val="20"/>
              </w:rPr>
              <w:t xml:space="preserve">Sa ndryshojnë vrojtimet?</w:t>
            </w:r>
          </w:p>
        </w:tc>
        <w:tc>
          <w:tcPr>
            <w:tcW w:w="3524" w:type="dxa"/>
            <w:shd w:fill="FFFFFF"/>
            <w:vAlign w:val="top"/>
          </w:tcPr>
          <w:p>
            <w:pPr>
              <w:pStyle w:val="Compact"/>
              <w:keepLines/>
              <w:widowControl/>
              <w:spacing w:before="0" w:after="40" w:line="240" w:lineRule="auto"/>
              <w:jc w:val="left"/>
            </w:pPr>
            <w:r>
              <w:rPr>
                <w:sz w:val="20"/>
                <w:szCs w:val="20"/>
              </w:rPr>
              <w:t xml:space="preserve">Amplituda, diapazoni ndërkuartilor, varianca, devijimi standard</w:t>
            </w:r>
          </w:p>
        </w:tc>
        <w:tc>
          <w:tcPr>
            <w:tcW w:w="3143" w:type="dxa"/>
            <w:shd w:fill="FFFFFF"/>
            <w:vAlign w:val="top"/>
          </w:tcPr>
          <w:p>
            <w:pPr>
              <w:pStyle w:val="Compact"/>
              <w:keepLines/>
              <w:widowControl/>
              <w:spacing w:before="0" w:after="40" w:line="240" w:lineRule="auto"/>
              <w:jc w:val="left"/>
            </w:pPr>
            <w:r>
              <w:rPr>
                <w:sz w:val="20"/>
                <w:szCs w:val="20"/>
              </w:rPr>
              <w:t xml:space="preserve">Trego njësitë dhe vëzhgo vlerat e pazakonta</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Çfarë forme krijojnë vlerat?</w:t>
            </w:r>
          </w:p>
        </w:tc>
        <w:tc>
          <w:tcPr>
            <w:tcW w:w="3524" w:type="dxa"/>
            <w:shd w:fill="F3F7F9"/>
            <w:vAlign w:val="top"/>
          </w:tcPr>
          <w:p>
            <w:pPr>
              <w:pStyle w:val="Compact"/>
              <w:keepLines/>
              <w:widowControl/>
              <w:spacing w:before="0" w:after="40" w:line="240" w:lineRule="auto"/>
              <w:jc w:val="left"/>
            </w:pPr>
            <w:r>
              <w:rPr>
                <w:sz w:val="20"/>
                <w:szCs w:val="20"/>
              </w:rPr>
              <w:t xml:space="preserve">Histogrami, diagrami kuti-me-mustaqe, frekuencat, asimetria</w:t>
            </w:r>
          </w:p>
        </w:tc>
        <w:tc>
          <w:tcPr>
            <w:tcW w:w="3143" w:type="dxa"/>
            <w:shd w:fill="F3F7F9"/>
            <w:vAlign w:val="top"/>
          </w:tcPr>
          <w:p>
            <w:pPr>
              <w:pStyle w:val="Compact"/>
              <w:keepLines/>
              <w:widowControl/>
              <w:spacing w:before="0" w:after="40" w:line="240" w:lineRule="auto"/>
              <w:jc w:val="left"/>
            </w:pPr>
            <w:r>
              <w:rPr>
                <w:sz w:val="20"/>
                <w:szCs w:val="20"/>
              </w:rPr>
              <w:t xml:space="preserve">Kërko simetri, anim, boshllëqe, grumbullime dhe më shumë se një kulm</w:t>
            </w:r>
          </w:p>
        </w:tc>
      </w:tr>
      <w:tr>
        <w:trPr>
          <w:cantSplit/>
        </w:trPr>
        <w:tc>
          <w:tcPr>
            <w:tcW w:w="2857" w:type="dxa"/>
            <w:shd w:fill="FFFFFF"/>
            <w:vAlign w:val="top"/>
          </w:tcPr>
          <w:p>
            <w:pPr>
              <w:pStyle w:val="Compact"/>
              <w:keepLines/>
              <w:widowControl/>
              <w:spacing w:before="0" w:after="40" w:line="240" w:lineRule="auto"/>
              <w:jc w:val="left"/>
            </w:pPr>
            <w:r>
              <w:rPr>
                <w:sz w:val="20"/>
                <w:szCs w:val="20"/>
              </w:rPr>
              <w:t xml:space="preserve">A ka vlera befasuese?</w:t>
            </w:r>
          </w:p>
        </w:tc>
        <w:tc>
          <w:tcPr>
            <w:tcW w:w="3524" w:type="dxa"/>
            <w:shd w:fill="FFFFFF"/>
            <w:vAlign w:val="top"/>
          </w:tcPr>
          <w:p>
            <w:pPr>
              <w:pStyle w:val="Compact"/>
              <w:keepLines/>
              <w:widowControl/>
              <w:spacing w:before="0" w:after="40" w:line="240" w:lineRule="auto"/>
              <w:jc w:val="left"/>
            </w:pPr>
            <w:r>
              <w:rPr>
                <w:sz w:val="20"/>
                <w:szCs w:val="20"/>
              </w:rPr>
              <w:t xml:space="preserve">Vlerat e papërpunuara, grafiku, kontrollet e të dhënave, pikëzimet e standardizuara</w:t>
            </w:r>
          </w:p>
        </w:tc>
        <w:tc>
          <w:tcPr>
            <w:tcW w:w="3143" w:type="dxa"/>
            <w:shd w:fill="FFFFFF"/>
            <w:vAlign w:val="top"/>
          </w:tcPr>
          <w:p>
            <w:pPr>
              <w:pStyle w:val="Compact"/>
              <w:keepLines/>
              <w:widowControl/>
              <w:spacing w:before="0" w:after="40" w:line="240" w:lineRule="auto"/>
              <w:jc w:val="left"/>
            </w:pPr>
            <w:r>
              <w:rPr>
                <w:sz w:val="20"/>
                <w:szCs w:val="20"/>
              </w:rPr>
              <w:t xml:space="preserve">Heto para se të vendosësh nëse një vlerë është gabim</w:t>
            </w:r>
          </w:p>
        </w:tc>
      </w:tr>
    </w:tbl>
    <w:p>
      <w:pPr>
        <w:pStyle w:val="BodyText"/>
      </w:pPr>
      <w:r>
        <w:t xml:space="preserve">Forma ndikon në interpretim. Në një shpërndarje afërsisht simetrike, mesatarja dhe mediana shpesh janë të ngjashme. Një bisht i gjatë djathtas priret ta tërheqë mesataren lart, ndërsa një bisht i gjatë majtas priret ta tërheqë poshtë.</w:t>
      </w:r>
      <w:r>
        <w:t xml:space="preserve"> </w:t>
      </w:r>
      <w:r>
        <w:rPr>
          <w:b/>
          <w:bCs/>
        </w:rPr>
        <w:t xml:space="preserve">Modaliteti</w:t>
      </w:r>
      <w:r>
        <w:t xml:space="preserve"> </w:t>
      </w:r>
      <w:r>
        <w:t xml:space="preserve">përshkruan numrin dhe modelin e kulmeve ose grumbullimeve kryesore që dallohen qartë. Një shpërndarje mund të jetë unimodale, me një kulm kryesor, ose multimodale, me më shumë se një grumbullim.</w:t>
      </w:r>
      <w:r>
        <w:t xml:space="preserve"> </w:t>
      </w:r>
      <w:r>
        <w:rPr>
          <w:b/>
          <w:bCs/>
        </w:rPr>
        <w:t xml:space="preserve">Kurtoza</w:t>
      </w:r>
      <w:r>
        <w:t xml:space="preserve"> </w:t>
      </w:r>
      <w:r>
        <w:t xml:space="preserve">përshkruan sa lehtë shfaqen vlerat larg në bishta, krahasuar me një shpërndarje referuese simetrike në formë kambane me të njëjtën shpërhapje të përgjithshme. Vetëm lartësia e kulmit nuk e përcakton kurtozën. Një numër i vetëm si mesatarja nuk mund t’i tregojë këto veçori, prandaj grafiku dhe përmbledhjet numerike duhen lexuar së bashku.</w:t>
      </w:r>
    </w:p>
    <w:p>
      <w:pPr>
        <w:pStyle w:val="BodyText"/>
      </w:pPr>
      <w:r>
        <w:t xml:space="preserve">Një vrojtim i pazakontë nuk është automatikisht gabim. Mund të jetë rast i vlefshëm por i rrallë, gabim kodimi, problem matjeje ose shenjë se janë bashkuar grupe të ndryshme. Kontrollo përkufizimin fillestar dhe procesin e regjistrimit para se të përjashtosh diçka. Nëse një vendim analitik ndryshon pasi hiqet një vrojtim, raportoje këtë ndjeshmëri dhe mos e fshih.</w:t>
      </w:r>
    </w:p>
    <w:bookmarkEnd w:id="44"/>
    <w:bookmarkStart w:id="45" w:name="udhëzuesi-i-formulave"/>
    <w:p>
      <w:pPr>
        <w:pStyle w:val="Heading2"/>
      </w:pPr>
      <w:r>
        <w:t xml:space="preserve">Udhëzuesi i formulave</w:t>
      </w:r>
    </w:p>
    <w:p>
      <w:pPr>
        <w:pStyle w:val="FirstParagraph"/>
      </w:pPr>
      <w:r>
        <w:t xml:space="preserve">Për kategorinë ose intervalin</w:t>
      </w:r>
      <w:r>
        <w:t xml:space="preserve"> </w:t>
      </w:r>
      <ns5:oMath>
        <ns5:r>
          <ns5:t>j</ns5:t>
        </ns5:r>
      </ns5:oMath>
      <w:r>
        <w:t xml:space="preserve">, le të jetë</w:t>
      </w:r>
      <w:r>
        <w:t xml:space="preserve"> </w:t>
      </w:r>
      <ns5:oMath>
        <ns5:sSub>
          <ns5:e>
            <ns5:r>
              <ns5:t>n</ns5:t>
            </ns5:r>
          </ns5:e>
          <ns5:sub>
            <ns5:r>
              <ns5:t>j</ns5:t>
            </ns5:r>
          </ns5:sub>
        </ns5:sSub>
      </ns5:oMath>
      <w:r>
        <w:t xml:space="preserve"> </w:t>
      </w:r>
      <w:r>
        <w:t xml:space="preserve">frekuenca e tij absolute dhe</w:t>
      </w:r>
      <w:r>
        <w:t xml:space="preserve"> </w:t>
      </w:r>
      <ns5:oMath>
        <ns5:r>
          <ns5:t>n</ns5:t>
        </ns5:r>
      </ns5:oMath>
      <w:r>
        <w:t xml:space="preserve"> </w:t>
      </w:r>
      <w:r>
        <w:t xml:space="preserve">numri i vrojtimeve të vlefshme. Frekuenca relative e tij është</w:t>
      </w:r>
    </w:p>
    <w:p>
      <w:pPr>
        <w:pStyle w:val="BodyText"/>
      </w:pPr>
      <ns5:oMathPara>
        <ns5:oMathParaPr>
          <ns5:jc ns5:val="center"/>
        </ns5:oMathParaPr>
        <ns5:oMath>
          <ns5:sSub>
            <ns5:e>
              <ns5:r>
                <ns5:t>f</ns5:t>
              </ns5:r>
            </ns5:e>
            <ns5:sub>
              <ns5:r>
                <ns5:t>j</ns5:t>
              </ns5:r>
            </ns5:sub>
          </ns5:sSub>
          <ns5:r>
            <ns5:rPr>
              <ns5:sty ns5:val="p"/>
            </ns5:rPr>
            <ns5:t>=</ns5:t>
          </ns5:r>
          <ns5:f>
            <ns5:fPr>
              <ns5:type ns5:val="bar"/>
            </ns5:fPr>
            <ns5:num>
              <ns5:sSub>
                <ns5:e>
                  <ns5:r>
                    <ns5:t>n</ns5:t>
                  </ns5:r>
                </ns5:e>
                <ns5:sub>
                  <ns5:r>
                    <ns5:t>j</ns5:t>
                  </ns5:r>
                </ns5:sub>
              </ns5:sSub>
            </ns5:num>
            <ns5:den>
              <ns5:r>
                <ns5:t>n</ns5:t>
              </ns5:r>
            </ns5:den>
          </ns5:f>
          <ns5:r>
            <ns5:rPr>
              <ns5:sty ns5:val="p"/>
            </ns5:rPr>
            <ns5:t>.</ns5:t>
          </ns5:r>
        </ns5:oMath>
      </ns5:oMathPara>
    </w:p>
    <w:p>
      <w:pPr>
        <w:pStyle w:val="FirstParagraph"/>
      </w:pPr>
      <w:r>
        <w:t xml:space="preserve">Për kategori të renditura ose intervale numerike, frekuenca relative kumulative deri te kategoria</w:t>
      </w:r>
      <w:r>
        <w:t xml:space="preserve"> </w:t>
      </w:r>
      <ns5:oMath>
        <ns5:r>
          <ns5:t>j</ns5:t>
        </ns5:r>
      </ns5:oMath>
      <w:r>
        <w:t xml:space="preserve"> </w:t>
      </w:r>
      <w:r>
        <w:t xml:space="preserve">është</w:t>
      </w:r>
    </w:p>
    <w:p>
      <w:pPr>
        <w:pStyle w:val="BodyText"/>
      </w:pPr>
      <ns5:oMathPara>
        <ns5:oMathParaPr>
          <ns5:jc ns5:val="center"/>
        </ns5:oMathParaPr>
        <ns5:oMath>
          <ns5:sSub>
            <ns5:e>
              <ns5:r>
                <ns5:t>F</ns5:t>
              </ns5:r>
            </ns5:e>
            <ns5:sub>
              <ns5:r>
                <ns5:t>j</ns5:t>
              </ns5:r>
            </ns5:sub>
          </ns5:sSub>
          <ns5:r>
            <ns5:rPr>
              <ns5:sty ns5:val="p"/>
            </ns5:rPr>
            <ns5:t>=</ns5:t>
          </ns5:r>
          <ns5:nary>
            <ns5:naryPr>
              <ns5:chr ns5:val="∑"/>
              <ns5:limLoc ns5:val="undOvr"/>
              <ns5:subHide ns5:val="off"/>
              <ns5:supHide ns5:val="off"/>
            </ns5:naryPr>
            <ns5:sub>
              <ns5:r>
                <ns5:t>h</ns5:t>
              </ns5:r>
              <ns5:r>
                <ns5:rPr>
                  <ns5:sty ns5:val="p"/>
                </ns5:rPr>
                <ns5:t>=</ns5:t>
              </ns5:r>
              <ns5:r>
                <ns5:t>1</ns5:t>
              </ns5:r>
            </ns5:sub>
            <ns5:sup>
              <ns5:r>
                <ns5:t>j</ns5:t>
              </ns5:r>
            </ns5:sup>
            <ns5:e>
              <ns5:sSub>
                <ns5:e>
                  <ns5:r>
                    <ns5:t>f</ns5:t>
                  </ns5:r>
                </ns5:e>
                <ns5:sub>
                  <ns5:r>
                    <ns5:t>h</ns5:t>
                  </ns5:r>
                </ns5:sub>
              </ns5:sSub>
            </ns5:e>
          </ns5:nary>
          <ns5:r>
            <ns5:rPr>
              <ns5:sty ns5:val="p"/>
            </ns5:rPr>
            <ns5:t>.</ns5:t>
          </ns5:r>
        </ns5:oMath>
      </ns5:oMathPara>
    </w:p>
    <w:p>
      <w:pPr>
        <w:pStyle w:val="FirstParagraph"/>
      </w:pPr>
      <w:r>
        <w:t xml:space="preserve">Frekuencat absolute duhet të japin gjithsej</w:t>
      </w:r>
      <w:r>
        <w:t xml:space="preserve"> </w:t>
      </w:r>
      <ns5:oMath>
        <ns5:r>
          <ns5:t>n</ns5:t>
        </ns5:r>
      </ns5:oMath>
      <w:r>
        <w:t xml:space="preserve">, frekuencat relative duhet të japin 1 me përjashtim të ndryshimeve nga rrumbullakimi, ndërsa frekuenca relative kumulative e fundit duhet të jetë 1. Frekuencat kumulative kanë kuptim vetëm kur kategoritë kanë një rend që mund të arsyetohet.</w:t>
      </w:r>
    </w:p>
    <w:p>
      <w:pPr>
        <w:pStyle w:val="BodyText"/>
      </w:pPr>
      <w:r>
        <w:t xml:space="preserve">Le të jenë</w:t>
      </w:r>
      <w:r>
        <w:t xml:space="preserve"> </w:t>
      </w:r>
      <ns5:oMath>
        <ns5:sSub>
          <ns5:e>
            <ns5:r>
              <ns5:t>x</ns5:t>
            </ns5:r>
          </ns5:e>
          <ns5:sub>
            <ns5:r>
              <ns5:t>1</ns5:t>
            </ns5:r>
          </ns5:sub>
        </ns5:sSub>
        <ns5:r>
          <ns5:rPr>
            <ns5:sty ns5:val="p"/>
          </ns5:rPr>
          <ns5:t>,</ns5:t>
        </ns5:r>
        <ns5:sSub>
          <ns5:e>
            <ns5:r>
              <ns5:t>x</ns5:t>
            </ns5:r>
          </ns5:e>
          <ns5:sub>
            <ns5:r>
              <ns5:t>2</ns5:t>
            </ns5:r>
          </ns5:sub>
        </ns5:sSub>
        <ns5:r>
          <ns5:rPr>
            <ns5:sty ns5:val="p"/>
          </ns5:rPr>
          <ns5:t>,</ns5:t>
        </ns5:r>
        <ns5:r>
          <ns5:rPr>
            <ns5:sty ns5:val="p"/>
          </ns5:rPr>
          <ns5:t>…</ns5:t>
        </ns5:r>
        <ns5:r>
          <ns5:rPr>
            <ns5:sty ns5:val="p"/>
          </ns5:rPr>
          <ns5:t>,</ns5:t>
        </ns5:r>
        <ns5:sSub>
          <ns5:e>
            <ns5:r>
              <ns5:t>x</ns5:t>
            </ns5:r>
          </ns5:e>
          <ns5:sub>
            <ns5:r>
              <ns5:t>n</ns5:t>
            </ns5:r>
          </ns5:sub>
        </ns5:sSub>
      </ns5:oMath>
      <w:r>
        <w:t xml:space="preserve"> </w:t>
      </w:r>
      <w:r>
        <w:t xml:space="preserve">vlerat e vrojtuara të një ndryshoreje numerike. Mesatarja e kampionit i mbledh të gjitha vlerat dhe e pjesëton shumën me numrin e vrojtimeve:</w:t>
      </w:r>
    </w:p>
    <w:p>
      <w:pPr>
        <w:pStyle w:val="BodyText"/>
      </w:pPr>
      <ns5:oMathPara>
        <ns5:oMathParaPr>
          <ns5:jc ns5:val="center"/>
        </ns5:oMathParaPr>
        <ns5:oMath>
          <ns5:acc>
            <ns5:accPr>
              <ns5:chr ns5:val="‾"/>
            </ns5:accPr>
            <ns5:e>
              <ns5:r>
                <ns5:t>x</ns5:t>
              </ns5:r>
            </ns5:e>
          </ns5:acc>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x</ns5:t>
                  </ns5:r>
                </ns5:e>
                <ns5:sub>
                  <ns5:r>
                    <ns5:t>i</ns5:t>
                  </ns5:r>
                </ns5:sub>
              </ns5:sSub>
            </ns5:e>
          </ns5:nary>
        </ns5:oMath>
      </ns5:oMathPara>
    </w:p>
    <w:p>
      <w:pPr>
        <w:pStyle w:val="FirstParagraph"/>
      </w:pPr>
      <w:r>
        <w:t xml:space="preserve">Shenja</w:t>
      </w:r>
      <w:r>
        <w:t xml:space="preserve"> </w:t>
      </w:r>
      <ns5:oMath>
        <ns5:r>
          <ns5:rPr>
            <ns5:sty ns5:val="p"/>
          </ns5:rPr>
          <ns5:t>∑</ns5:t>
        </ns5:r>
      </ns5:oMath>
      <w:r>
        <w:t xml:space="preserve"> </w:t>
      </w:r>
      <w:r>
        <w:t xml:space="preserve">do të thotë «mblidh vlerat e treguara». Indeksi</w:t>
      </w:r>
      <w:r>
        <w:t xml:space="preserve"> </w:t>
      </w:r>
      <ns5:oMath>
        <ns5:r>
          <ns5:t>i</ns5:t>
        </ns5:r>
      </ns5:oMath>
      <w:r>
        <w:t xml:space="preserve"> </w:t>
      </w:r>
      <w:r>
        <w:t xml:space="preserve">identifikon nga një vrojtim, duke filluar nga vrojtimi i parë e deri te vrojtimi</w:t>
      </w:r>
      <w:r>
        <w:t xml:space="preserve"> </w:t>
      </w:r>
      <ns5:oMath>
        <ns5:r>
          <ns5:t>n</ns5:t>
        </ns5:r>
      </ns5:oMath>
      <w:r>
        <w:t xml:space="preserve">. Devijimi</w:t>
      </w:r>
      <w:r>
        <w:t xml:space="preserve"> </w:t>
      </w:r>
      <ns5:oMath>
        <ns5:sSub>
          <ns5:e>
            <ns5:r>
              <ns5:t>x</ns5:t>
            </ns5:r>
          </ns5:e>
          <ns5:sub>
            <ns5:r>
              <ns5:t>i</ns5:t>
            </ns5:r>
          </ns5:sub>
        </ns5:sSub>
        <ns5:r>
          <ns5:rPr>
            <ns5:sty ns5:val="p"/>
          </ns5:rPr>
          <ns5:t>−</ns5:t>
        </ns5:r>
        <ns5:acc>
          <ns5:accPr>
            <ns5:chr ns5:val="‾"/>
          </ns5:accPr>
          <ns5:e>
            <ns5:r>
              <ns5:t>x</ns5:t>
            </ns5:r>
          </ns5:e>
        </ns5:acc>
      </ns5:oMath>
      <w:r>
        <w:t xml:space="preserve"> </w:t>
      </w:r>
      <w:r>
        <w:t xml:space="preserve">tregon sa larg mbi ose nën mesatare gjendet një vlerë. Kur mblidhen, devijimet pozitive dhe negative e anulojnë njëra-tjetrën. Prandaj, për variancën ato ngrihen fillimisht në katror. Varianca e kampionit përdor</w:t>
      </w:r>
      <w:r>
        <w:t xml:space="preserve"> </w:t>
      </w:r>
      <ns5:oMath>
        <ns5:r>
          <ns5:t>n</ns5:t>
        </ns5:r>
        <ns5:r>
          <ns5:rPr>
            <ns5:sty ns5:val="p"/>
          </ns5:rPr>
          <ns5:t>−</ns5:t>
        </ns5:r>
        <ns5:r>
          <ns5:t>1</ns5:t>
        </ns5:r>
      </ns5:oMath>
      <w:r>
        <w:t xml:space="preserve"> </w:t>
      </w:r>
      <w:r>
        <w:t xml:space="preserve">në emërues:</w:t>
      </w:r>
    </w:p>
    <w:p>
      <w:pPr>
        <w:pStyle w:val="BodyText"/>
      </w:pPr>
      <ns5:oMathPara>
        <ns5:oMathParaPr>
          <ns5:jc ns5:val="center"/>
        </ns5:oMathParaPr>
        <ns5:oMath>
          <ns5:sSup>
            <ns5:e>
              <ns5:r>
                <ns5:t>s</ns5:t>
              </ns5:r>
            </ns5:e>
            <ns5:sup>
              <ns5:r>
                <ns5:t>2</ns5:t>
              </ns5:r>
            </ns5:sup>
          </ns5:sSup>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oMath>
      </ns5:oMathPara>
    </w:p>
    <w:p>
      <w:pPr>
        <w:pStyle w:val="FirstParagraph"/>
      </w:pPr>
      <w:r>
        <w:t xml:space="preserve">Varianca përkatëse e popullatës përdor mesataren e popullatës</w:t>
      </w:r>
      <w:r>
        <w:t xml:space="preserve"> </w:t>
      </w:r>
      <ns5:oMath>
        <ns5:r>
          <ns5:t>μ</ns5:t>
        </ns5:r>
      </ns5:oMath>
      <w:r>
        <w:t xml:space="preserve"> </w:t>
      </w:r>
      <w:r>
        <w:t xml:space="preserve">dhe pjesëton me madhësinë e popullatës</w:t>
      </w:r>
      <w:r>
        <w:t xml:space="preserve"> </w:t>
      </w:r>
      <ns5:oMath>
        <ns5:r>
          <ns5:t>N</ns5:t>
        </ns5:r>
      </ns5:oMath>
      <w:r>
        <w:t xml:space="preserve">:</w:t>
      </w:r>
    </w:p>
    <w:p>
      <w:pPr>
        <w:pStyle w:val="BodyText"/>
      </w:pPr>
      <ns5:oMathPara>
        <ns5:oMathParaPr>
          <ns5:jc ns5:val="center"/>
        </ns5:oMathParaPr>
        <ns5:oMath>
          <ns5:sSup>
            <ns5:e>
              <ns5:r>
                <ns5:t>σ</ns5:t>
              </ns5:r>
            </ns5:e>
            <ns5:sup>
              <ns5:r>
                <ns5:t>2</ns5:t>
              </ns5:r>
            </ns5:sup>
          </ns5:sSup>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r>
                        <ns5:t>μ</ns5:t>
                      </ns5:r>
                    </ns5:e>
                  </ns5:d>
                </ns5:e>
                <ns5:sup>
                  <ns5:r>
                    <ns5:t>2</ns5:t>
                  </ns5:r>
                </ns5:sup>
              </ns5:sSup>
            </ns5:e>
          </ns5:nary>
          <ns5:r>
            <ns5:rPr>
              <ns5:sty ns5:val="p"/>
            </ns5:rPr>
            <ns5:t>.</ns5:t>
          </ns5:r>
        </ns5:oMath>
      </ns5:oMathPara>
    </w:p>
    <w:p>
      <w:pPr>
        <w:pStyle w:val="FirstParagraph"/>
      </w:pPr>
      <w:r>
        <w:t xml:space="preserve">Mbaji të ndara dy madhësitë që synohen. Emëruesi</w:t>
      </w:r>
      <w:r>
        <w:t xml:space="preserve"> </w:t>
      </w:r>
      <ns5:oMath>
        <ns5:r>
          <ns5:t>n</ns5:t>
        </ns5:r>
        <ns5:r>
          <ns5:rPr>
            <ns5:sty ns5:val="p"/>
          </ns5:rPr>
          <ns5:t>−</ns5:t>
        </ns5:r>
        <ns5:r>
          <ns5:t>1</ns5:t>
        </ns5:r>
      </ns5:oMath>
      <w:r>
        <w:t xml:space="preserve"> </w:t>
      </w:r>
      <w:r>
        <w:t xml:space="preserve">i përket variancës së korrigjuar të kampionit, e cila përdoret për të vlerësuar ndryshueshmërinë e popullatës. Pjesëtimi me</w:t>
      </w:r>
      <w:r>
        <w:t xml:space="preserve"> </w:t>
      </w:r>
      <ns5:oMath>
        <ns5:r>
          <ns5:t>N</ns5:t>
        </ns5:r>
      </ns5:oMath>
      <w:r>
        <w:t xml:space="preserve"> </w:t>
      </w:r>
      <w:r>
        <w:t xml:space="preserve">përshkruan vetë vlerat e popullatës së plotë.</w:t>
      </w:r>
    </w:p>
    <w:p>
      <w:pPr>
        <w:pStyle w:val="BodyText"/>
      </w:pPr>
      <w:r>
        <w:t xml:space="preserve">Meqë varianca shprehet në njësi të ngritura në katror, marrim rrënjën e saj katrore për t’u kthyer te njësia fillestare e matjes. Prandaj devijimi standard i kampionit është:</w:t>
      </w:r>
    </w:p>
    <w:p>
      <w:pPr>
        <w:pStyle w:val="BodyText"/>
      </w:pPr>
      <ns5:oMathPara>
        <ns5:oMathParaPr>
          <ns5:jc ns5:val="center"/>
        </ns5:oMathParaPr>
        <ns5:oMath>
          <ns5:r>
            <ns5:t>s</ns5:t>
          </ns5:r>
          <ns5:r>
            <ns5:rPr>
              <ns5:sty ns5:val="p"/>
            </ns5:rPr>
            <ns5:t>=</ns5:t>
          </ns5:r>
          <ns5:rad>
            <ns5:radPr>
              <ns5:degHide ns5:val="on"/>
            </ns5:radPr>
            <ns5:deg/>
            <ns5:e>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e>
          </ns5:rad>
        </ns5:oMath>
      </ns5:oMathPara>
    </w:p>
    <w:p>
      <w:pPr>
        <w:pStyle w:val="FirstParagraph"/>
      </w:pPr>
      <w:r>
        <w:t xml:space="preserve">Një pikëzim i standardizuar e shpreh një vlerë në njësi të devijimit standard. Ai zbret mesataren e kampionit dhe pjesëton me devijimin standard të kampionit:</w:t>
      </w:r>
    </w:p>
    <w:p>
      <w:pPr>
        <w:pStyle w:val="BodyText"/>
      </w:pPr>
      <ns5:oMathPara>
        <ns5:oMathParaPr>
          <ns5:jc ns5:val="center"/>
        </ns5:oMathParaPr>
        <ns5:oMath>
          <ns5:sSub>
            <ns5:e>
              <ns5:r>
                <ns5:t>z</ns5:t>
              </ns5:r>
            </ns5:e>
            <ns5:sub>
              <ns5:r>
                <ns5:t>i</ns5:t>
              </ns5:r>
            </ns5:sub>
          </ns5:sSub>
          <ns5:r>
            <ns5:rPr>
              <ns5:sty ns5:val="p"/>
            </ns5:rPr>
            <ns5:t>=</ns5:t>
          </ns5:r>
          <ns5:f>
            <ns5:fPr>
              <ns5:type ns5:val="bar"/>
            </ns5:fPr>
            <ns5:num>
              <ns5:sSub>
                <ns5:e>
                  <ns5:r>
                    <ns5:t>x</ns5:t>
                  </ns5:r>
                </ns5:e>
                <ns5:sub>
                  <ns5:r>
                    <ns5:t>i</ns5:t>
                  </ns5:r>
                </ns5:sub>
              </ns5:sSub>
              <ns5:r>
                <ns5:rPr>
                  <ns5:sty ns5:val="p"/>
                </ns5:rPr>
                <ns5:t>−</ns5:t>
              </ns5:r>
              <ns5:acc>
                <ns5:accPr>
                  <ns5:chr ns5:val="‾"/>
                </ns5:accPr>
                <ns5:e>
                  <ns5:r>
                    <ns5:t>x</ns5:t>
                  </ns5:r>
                </ns5:e>
              </ns5:acc>
            </ns5:num>
            <ns5:den>
              <ns5:r>
                <ns5:t>s</ns5:t>
              </ns5:r>
            </ns5:den>
          </ns5:f>
        </ns5:oMath>
      </ns5:oMathPara>
    </w:p>
    <w:p>
      <w:pPr>
        <w:pStyle w:val="FirstParagraph"/>
      </w:pPr>
      <w:r>
        <w:t xml:space="preserve">Një</w:t>
      </w:r>
      <w:r>
        <w:t xml:space="preserve"> </w:t>
      </w:r>
      <ns5:oMath>
        <ns5:sSub>
          <ns5:e>
            <ns5:r>
              <ns5:t>z</ns5:t>
            </ns5:r>
          </ns5:e>
          <ns5:sub>
            <ns5:r>
              <ns5:t>i</ns5:t>
            </ns5:r>
          </ns5:sub>
        </ns5:sSub>
      </ns5:oMath>
      <w:r>
        <w:t xml:space="preserve"> </w:t>
      </w:r>
      <w:r>
        <w:t xml:space="preserve">pozitiv e vendos vlerën mbi mesatare, një</w:t>
      </w:r>
      <w:r>
        <w:t xml:space="preserve"> </w:t>
      </w:r>
      <ns5:oMath>
        <ns5:sSub>
          <ns5:e>
            <ns5:r>
              <ns5:t>z</ns5:t>
            </ns5:r>
          </ns5:e>
          <ns5:sub>
            <ns5:r>
              <ns5:t>i</ns5:t>
            </ns5:r>
          </ns5:sub>
        </ns5:sSub>
      </ns5:oMath>
      <w:r>
        <w:t xml:space="preserve"> </w:t>
      </w:r>
      <w:r>
        <w:t xml:space="preserve">negativ e vendos nën mesatare, ndërsa madhësia e tij tregon largësinë në devijime standarde. Standardizimi ndryshon njësinë dhe pikën e referimit, por nuk ndryshon rendin ose formën e vrojtimeve.</w:t>
      </w:r>
    </w:p>
    <w:p>
      <w:pPr>
        <w:pStyle w:val="BodyText"/>
      </w:pPr>
      <w:r>
        <w:t xml:space="preserve">Mediana dhe kuantilet fillojnë nga vrojtimet e renditura. Kuartili i parë</w:t>
      </w:r>
      <w:r>
        <w:t xml:space="preserve"> </w:t>
      </w:r>
      <ns5:oMath>
        <ns5:sSub>
          <ns5:e>
            <ns5:r>
              <ns5:t>Q</ns5:t>
            </ns5:r>
          </ns5:e>
          <ns5:sub>
            <ns5:r>
              <ns5:t>1</ns5:t>
            </ns5:r>
          </ns5:sub>
        </ns5:sSub>
      </ns5:oMath>
      <w:r>
        <w:t xml:space="preserve"> </w:t>
      </w:r>
      <w:r>
        <w:t xml:space="preserve">shënon çerekun e poshtëm, mediana</w:t>
      </w:r>
      <w:r>
        <w:t xml:space="preserve"> </w:t>
      </w:r>
      <ns5:oMath>
        <ns5:sSub>
          <ns5:e>
            <ns5:r>
              <ns5:t>Q</ns5:t>
            </ns5:r>
          </ns5:e>
          <ns5:sub>
            <ns5:r>
              <ns5:t>2</ns5:t>
            </ns5:r>
          </ns5:sub>
        </ns5:sSub>
      </ns5:oMath>
      <w:r>
        <w:t xml:space="preserve"> </w:t>
      </w:r>
      <w:r>
        <w:t xml:space="preserve">shënon pikën e mesit dhe kuartili i tretë</w:t>
      </w:r>
      <w:r>
        <w:t xml:space="preserve"> </w:t>
      </w:r>
      <ns5:oMath>
        <ns5:sSub>
          <ns5:e>
            <ns5:r>
              <ns5:t>Q</ns5:t>
            </ns5:r>
          </ns5:e>
          <ns5:sub>
            <ns5:r>
              <ns5:t>3</ns5:t>
            </ns5:r>
          </ns5:sub>
        </ns5:sSub>
      </ns5:oMath>
      <w:r>
        <w:t xml:space="preserve"> </w:t>
      </w:r>
      <w:r>
        <w:t xml:space="preserve">shënon tre të katërtat e poshtme. Amplituda dhe diapazoni ndërkuartilor janë</w:t>
      </w:r>
    </w:p>
    <w:p>
      <w:pPr>
        <w:pStyle w:val="BodyText"/>
      </w:pPr>
      <ns5:oMathPara>
        <ns5:oMathParaPr>
          <ns5:jc ns5:val="center"/>
        </ns5:oMathParaPr>
        <ns5:oMath>
          <ns5:r>
            <ns5:rPr>
              <ns5:nor/>
              <ns5:sty ns5:val="p"/>
            </ns5:rPr>
            <ns5:t>amplituda</ns5:t>
          </ns5:r>
          <ns5:r>
            <ns5:rPr>
              <ns5:sty ns5:val="p"/>
            </ns5:rPr>
            <ns5:t>=</ns5:t>
          </ns5:r>
          <ns5:sSub>
            <ns5:e>
              <ns5:r>
                <ns5:t>x</ns5:t>
              </ns5:r>
            </ns5:e>
            <ns5:sub>
              <ns5:r>
                <ns5:rPr>
                  <ns5:sty ns5:val="p"/>
                </ns5:rPr>
                <ns5:t>max</ns5:t>
              </ns5:r>
            </ns5:sub>
          </ns5:sSub>
          <ns5:r>
            <ns5:rPr>
              <ns5:sty ns5:val="p"/>
            </ns5:rPr>
            <ns5:t>−</ns5:t>
          </ns5:r>
          <ns5:sSub>
            <ns5:e>
              <ns5:r>
                <ns5:t>x</ns5:t>
              </ns5:r>
            </ns5:e>
            <ns5:sub>
              <ns5:r>
                <ns5:rPr>
                  <ns5:sty ns5:val="p"/>
                </ns5:rPr>
                <ns5:t>min</ns5:t>
              </ns5:r>
            </ns5:sub>
          </ns5:sSub>
          <ns5:r>
            <ns5:rPr>
              <ns5:sty ns5:val="p"/>
            </ns5:rPr>
            <ns5:t>,</ns5:t>
          </ns5:r>
          <ns5:r>
            <ns5:t>  </ns5:t>
          </ns5:r>
          <ns5:r>
            <ns5:t>I</ns5:t>
          </ns5:r>
          <ns5:r>
            <ns5:t>Q</ns5:t>
          </ns5:r>
          <ns5:r>
            <ns5:t>R</ns5:t>
          </ns5:r>
          <ns5:r>
            <ns5:rPr>
              <ns5:sty ns5:val="p"/>
            </ns5:rPr>
            <ns5:t>=</ns5:t>
          </ns5:r>
          <ns5:sSub>
            <ns5:e>
              <ns5:r>
                <ns5:t>Q</ns5:t>
              </ns5:r>
            </ns5:e>
            <ns5:sub>
              <ns5:r>
                <ns5:t>3</ns5:t>
              </ns5:r>
            </ns5:sub>
          </ns5:sSub>
          <ns5:r>
            <ns5:rPr>
              <ns5:sty ns5:val="p"/>
            </ns5:rPr>
            <ns5:t>−</ns5:t>
          </ns5:r>
          <ns5:sSub>
            <ns5:e>
              <ns5:r>
                <ns5:t>Q</ns5:t>
              </ns5:r>
            </ns5:e>
            <ns5:sub>
              <ns5:r>
                <ns5:t>1</ns5:t>
              </ns5:r>
            </ns5:sub>
          </ns5:sSub>
          <ns5:r>
            <ns5:rPr>
              <ns5:sty ns5:val="p"/>
            </ns5:rPr>
            <ns5:t>.</ns5:t>
          </ns5:r>
        </ns5:oMath>
      </ns5:oMathPara>
    </w:p>
    <w:p>
      <w:pPr>
        <w:pStyle w:val="FirstParagraph"/>
      </w:pPr>
      <w:r>
        <w:t xml:space="preserve">Konventat për kuantilet e kampionit mund të ndërfusin vlera në mënyra të ndryshme, prandaj programet mund të raportojnë kuartile paksa të ndryshme për një grup të vogël të dhënash. Një kontroll i zakonshëm në diagramin kuti-me-mustaqe përdor kufijtë e brendshëm</w:t>
      </w:r>
    </w:p>
    <w:p>
      <w:pPr>
        <w:pStyle w:val="BodyText"/>
      </w:pPr>
      <ns5:oMathPara>
        <ns5:oMathParaPr>
          <ns5:jc ns5:val="center"/>
        </ns5:oMathParaPr>
        <ns5:oMath>
          <ns5:sSub>
            <ns5:e>
              <ns5:r>
                <ns5:t>Q</ns5:t>
              </ns5:r>
            </ns5:e>
            <ns5:sub>
              <ns5:r>
                <ns5:t>1</ns5:t>
              </ns5:r>
            </ns5:sub>
          </ns5:sSub>
          <ns5:r>
            <ns5:rPr>
              <ns5:sty ns5:val="p"/>
            </ns5:rPr>
            <ns5:t>−</ns5:t>
          </ns5:r>
          <ns5:r>
            <ns5:t>1.5</ns5:t>
          </ns5:r>
          <ns5:d>
            <ns5:dPr>
              <ns5:begChr ns5:val="("/>
              <ns5:sepChr ns5:val=""/>
              <ns5:endChr ns5:val=")"/>
              <ns5:grow/>
            </ns5:dPr>
            <ns5:e>
              <ns5:r>
                <ns5:t>I</ns5:t>
              </ns5:r>
              <ns5:r>
                <ns5:t>Q</ns5:t>
              </ns5:r>
              <ns5:r>
                <ns5:t>R</ns5:t>
              </ns5:r>
            </ns5:e>
          </ns5:d>
          <ns5:r>
            <ns5:t>  </ns5:t>
          </ns5:r>
          <ns5:r>
            <ns5:rPr>
              <ns5:nor/>
              <ns5:sty ns5:val="p"/>
            </ns5:rPr>
            <ns5:t>dhe</ns5:t>
          </ns5:r>
          <ns5:r>
            <ns5:t>  </ns5:t>
          </ns5:r>
          <ns5:sSub>
            <ns5:e>
              <ns5:r>
                <ns5:t>Q</ns5:t>
              </ns5:r>
            </ns5:e>
            <ns5:sub>
              <ns5:r>
                <ns5:t>3</ns5:t>
              </ns5:r>
            </ns5:sub>
          </ns5:sSub>
          <ns5:r>
            <ns5:rPr>
              <ns5:sty ns5:val="p"/>
            </ns5:rPr>
            <ns5:t>+</ns5:t>
          </ns5:r>
          <ns5:r>
            <ns5:t>1.5</ns5:t>
          </ns5:r>
          <ns5:d>
            <ns5:dPr>
              <ns5:begChr ns5:val="("/>
              <ns5:sepChr ns5:val=""/>
              <ns5:endChr ns5:val=")"/>
              <ns5:grow/>
            </ns5:dPr>
            <ns5:e>
              <ns5:r>
                <ns5:t>I</ns5:t>
              </ns5:r>
              <ns5:r>
                <ns5:t>Q</ns5:t>
              </ns5:r>
              <ns5:r>
                <ns5:t>R</ns5:t>
              </ns5:r>
            </ns5:e>
          </ns5:d>
          <ns5:r>
            <ns5:rPr>
              <ns5:sty ns5:val="p"/>
            </ns5:rPr>
            <ns5:t>.</ns5:t>
          </ns5:r>
        </ns5:oMath>
      </ns5:oMathPara>
    </w:p>
    <w:p>
      <w:pPr>
        <w:pStyle w:val="FirstParagraph"/>
      </w:pPr>
      <w:r>
        <w:t xml:space="preserve">Vlerat përtej një kufiri janë vlera të mundshme të veçuara që duhen shqyrtuar, jo gabime që duhen fshirë automatikisht. Mustaqet ndalen te vlerat më skajore të vrojtuara që ende gjenden brenda kufijve. Ato nuk përfundojnë domosdoshmërisht pikërisht te vlerat e kufijve.</w:t>
      </w:r>
    </w:p>
    <w:p>
      <w:pPr>
        <w:pStyle w:val="BodyText"/>
      </w:pPr>
      <w:r>
        <w:t xml:space="preserve">Për një transformim linear</w:t>
      </w:r>
      <w:r>
        <w:t xml:space="preserve"> </w:t>
      </w:r>
      <ns5:oMath>
        <ns5:r>
          <ns5:t>Y</ns5:t>
        </ns5:r>
        <ns5:r>
          <ns5:rPr>
            <ns5:sty ns5:val="p"/>
          </ns5:rPr>
          <ns5:t>=</ns5:t>
        </ns5:r>
        <ns5:r>
          <ns5:t>a</ns5:t>
        </ns5:r>
        <ns5:r>
          <ns5:rPr>
            <ns5:sty ns5:val="p"/>
          </ns5:rPr>
          <ns5:t>+</ns5:t>
        </ns5:r>
        <ns5:r>
          <ns5:t>b</ns5:t>
        </ns5:r>
        <ns5:r>
          <ns5:t>X</ns5:t>
        </ns5:r>
      </ns5:oMath>
      <w:r>
        <w:t xml:space="preserve">, qendra dhe shpërhapja ndryshojnë sipas</w:t>
      </w:r>
    </w:p>
    <w:p>
      <w:pPr>
        <w:pStyle w:val="BodyText"/>
      </w:pPr>
      <ns5:oMathPara>
        <ns5:oMathParaPr>
          <ns5:jc ns5:val="center"/>
        </ns5:oMathParaP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r>
            <ns5:rPr>
              <ns5:sty ns5:val="p"/>
            </ns5:rPr>
            <ns5:t>,</ns5:t>
          </ns5:r>
          <ns5:r>
            <ns5:t>  </ns5:t>
          </ns5:r>
          <ns5:sSubSup>
            <ns5:e>
              <ns5:r>
                <ns5:t>s</ns5:t>
              </ns5:r>
            </ns5:e>
            <ns5:sub>
              <ns5:r>
                <ns5:t>y</ns5:t>
              </ns5:r>
            </ns5:sub>
            <ns5:sup>
              <ns5:r>
                <ns5:t>2</ns5:t>
              </ns5:r>
            </ns5:sup>
          </ns5:sSubSup>
          <ns5:r>
            <ns5:rPr>
              <ns5:sty ns5:val="p"/>
            </ns5:rPr>
            <ns5:t>=</ns5:t>
          </ns5:r>
          <ns5:sSup>
            <ns5:e>
              <ns5:r>
                <ns5:t>b</ns5:t>
              </ns5:r>
            </ns5:e>
            <ns5:sup>
              <ns5:r>
                <ns5:t>2</ns5:t>
              </ns5:r>
            </ns5:sup>
          </ns5:sSup>
          <ns5:sSubSup>
            <ns5:e>
              <ns5:r>
                <ns5:t>s</ns5:t>
              </ns5:r>
            </ns5:e>
            <ns5:sub>
              <ns5:r>
                <ns5:t>x</ns5:t>
              </ns5:r>
            </ns5:sub>
            <ns5:sup>
              <ns5:r>
                <ns5:t>2</ns5:t>
              </ns5:r>
            </ns5:sup>
          </ns5:sSubSup>
          <ns5:r>
            <ns5:rPr>
              <ns5:sty ns5:val="p"/>
            </ns5:rPr>
            <ns5:t>,</ns5:t>
          </ns5:r>
          <ns5:r>
            <ns5:t>  </ns5:t>
          </ns5:r>
          <ns5:sSub>
            <ns5:e>
              <ns5:r>
                <ns5:t>s</ns5:t>
              </ns5:r>
            </ns5:e>
            <ns5:sub>
              <ns5:r>
                <ns5:t>y</ns5:t>
              </ns5:r>
            </ns5:sub>
          </ns5:sSub>
          <ns5:r>
            <ns5:rPr>
              <ns5:sty ns5:val="p"/>
            </ns5:rPr>
            <ns5:t>=</ns5:t>
          </ns5:r>
          <ns5:d>
            <ns5:dPr>
              <ns5:begChr ns5:val="|"/>
              <ns5:sepChr ns5:val=""/>
              <ns5:endChr ns5:val="|"/>
              <ns5:grow/>
            </ns5:dPr>
            <ns5:e>
              <ns5:r>
                <ns5:t>b</ns5:t>
              </ns5:r>
            </ns5:e>
          </ns5:d>
          <ns5:sSub>
            <ns5:e>
              <ns5:r>
                <ns5:t>s</ns5:t>
              </ns5:r>
            </ns5:e>
            <ns5:sub>
              <ns5:r>
                <ns5:t>x</ns5:t>
              </ns5:r>
            </ns5:sub>
          </ns5:sSub>
          <ns5:r>
            <ns5:rPr>
              <ns5:sty ns5:val="p"/>
            </ns5:rPr>
            <ns5:t>.</ns5:t>
          </ns5:r>
        </ns5:oMath>
      </ns5:oMathPara>
    </w:p>
    <w:p>
      <w:pPr>
        <w:pStyle w:val="FirstParagraph"/>
      </w:pPr>
      <w:r>
        <w:t xml:space="preserve">Zhvendosja</w:t>
      </w:r>
      <w:r>
        <w:t xml:space="preserve"> </w:t>
      </w:r>
      <ns5:oMath>
        <ns5:r>
          <ns5:t>a</ns5:t>
        </ns5:r>
      </ns5:oMath>
      <w:r>
        <w:t xml:space="preserve"> </w:t>
      </w:r>
      <w:r>
        <w:t xml:space="preserve">e ndryshon vendndodhjen, por jo shpërhapjen. Shumëzuesi</w:t>
      </w:r>
      <w:r>
        <w:t xml:space="preserve"> </w:t>
      </w:r>
      <ns5:oMath>
        <ns5:r>
          <ns5:t>b</ns5:t>
        </ns5:r>
      </ns5:oMath>
      <w:r>
        <w:t xml:space="preserve"> </w:t>
      </w:r>
      <w:r>
        <w:t xml:space="preserve">i ndryshon largësitë me</w:t>
      </w:r>
      <w:r>
        <w:t xml:space="preserve"> </w:t>
      </w:r>
      <ns5:oMath>
        <ns5:d>
          <ns5:dPr>
            <ns5:begChr ns5:val="|"/>
            <ns5:sepChr ns5:val=""/>
            <ns5:endChr ns5:val="|"/>
            <ns5:grow/>
          </ns5:dPr>
          <ns5:e>
            <ns5:r>
              <ns5:t>b</ns5:t>
            </ns5:r>
          </ns5:e>
        </ns5:d>
      </ns5:oMath>
      <w:r>
        <w:t xml:space="preserve">, prandaj varianca ndryshon me</w:t>
      </w:r>
      <w:r>
        <w:t xml:space="preserve"> </w:t>
      </w:r>
      <ns5:oMath>
        <ns5:sSup>
          <ns5:e>
            <ns5:r>
              <ns5:t>b</ns5:t>
            </ns5:r>
          </ns5:e>
          <ns5:sup>
            <ns5:r>
              <ns5:t>2</ns5:t>
            </ns5:r>
          </ns5:sup>
        </ns5:sSup>
      </ns5:oMath>
      <w:r>
        <w:t xml:space="preserve">. Standardizimi është rasti i veçantë që zbret mesataren dhe pjesëton me devijimin standard.</w:t>
      </w:r>
    </w:p>
    <w:p>
      <w:pPr>
        <w:pStyle w:val="BodyText"/>
      </w:pPr>
      <w:r>
        <w:t xml:space="preserve">Lartësia e histogramit kërkon një kontroll të fundit. Nëse intervali</w:t>
      </w:r>
      <w:r>
        <w:t xml:space="preserve"> </w:t>
      </w:r>
      <ns5:oMath>
        <ns5:r>
          <ns5:t>j</ns5:t>
        </ns5:r>
      </ns5:oMath>
      <w:r>
        <w:t xml:space="preserve"> </w:t>
      </w:r>
      <w:r>
        <w:t xml:space="preserve">ka frekuencë relative</w:t>
      </w:r>
      <w:r>
        <w:t xml:space="preserve"> </w:t>
      </w:r>
      <ns5:oMath>
        <ns5:sSub>
          <ns5:e>
            <ns5:r>
              <ns5:t>f</ns5:t>
            </ns5:r>
          </ns5:e>
          <ns5:sub>
            <ns5:r>
              <ns5:t>j</ns5:t>
            </ns5:r>
          </ns5:sub>
        </ns5:sSub>
      </ns5:oMath>
      <w:r>
        <w:t xml:space="preserve"> </w:t>
      </w:r>
      <w:r>
        <w:t xml:space="preserve">dhe gjerësi</w:t>
      </w:r>
      <w:r>
        <w:t xml:space="preserve"> </w:t>
      </w:r>
      <ns5:oMath>
        <ns5:sSub>
          <ns5:e>
            <ns5:r>
              <ns5:t>w</ns5:t>
            </ns5:r>
          </ns5:e>
          <ns5:sub>
            <ns5:r>
              <ns5:t>j</ns5:t>
            </ns5:r>
          </ns5:sub>
        </ns5:sSub>
      </ns5:oMath>
      <w:r>
        <w:t xml:space="preserve">, lartësia e dendësisë është</w:t>
      </w:r>
    </w:p>
    <w:p>
      <w:pPr>
        <w:pStyle w:val="BodyText"/>
      </w:pPr>
      <ns5:oMathPara>
        <ns5:oMathParaPr>
          <ns5:jc ns5:val="center"/>
        </ns5:oMathParaPr>
        <ns5:oMath>
          <ns5:sSub>
            <ns5:e>
              <ns5:r>
                <ns5:t>h</ns5:t>
              </ns5:r>
            </ns5:e>
            <ns5:sub>
              <ns5:r>
                <ns5:t>j</ns5:t>
              </ns5:r>
            </ns5:sub>
          </ns5:sSub>
          <ns5:r>
            <ns5:rPr>
              <ns5:sty ns5:val="p"/>
            </ns5:rPr>
            <ns5:t>=</ns5:t>
          </ns5:r>
          <ns5:f>
            <ns5:fPr>
              <ns5:type ns5:val="bar"/>
            </ns5:fPr>
            <ns5:num>
              <ns5:sSub>
                <ns5:e>
                  <ns5:r>
                    <ns5:t>f</ns5:t>
                  </ns5:r>
                </ns5:e>
                <ns5:sub>
                  <ns5:r>
                    <ns5:t>j</ns5:t>
                  </ns5:r>
                </ns5:sub>
              </ns5:sSub>
            </ns5:num>
            <ns5:den>
              <ns5:sSub>
                <ns5:e>
                  <ns5:r>
                    <ns5:t>w</ns5:t>
                  </ns5:r>
                </ns5:e>
                <ns5:sub>
                  <ns5:r>
                    <ns5:t>j</ns5:t>
                  </ns5:r>
                </ns5:sub>
              </ns5:sSub>
            </ns5:den>
          </ns5:f>
          <ns5:r>
            <ns5:rPr>
              <ns5:sty ns5:val="p"/>
            </ns5:rPr>
            <ns5:t>.</ns5:t>
          </ns5:r>
        </ns5:oMath>
      </ns5:oMathPara>
    </w:p>
    <w:p>
      <w:pPr>
        <w:pStyle w:val="FirstParagraph"/>
      </w:pPr>
      <w:r>
        <w:t xml:space="preserve">Atëherë sipërfaqja e shtyllës është</w:t>
      </w:r>
      <w:r>
        <w:t xml:space="preserve"> </w:t>
      </w:r>
      <ns5:oMath>
        <ns5:sSub>
          <ns5:e>
            <ns5:r>
              <ns5:t>h</ns5:t>
            </ns5:r>
          </ns5:e>
          <ns5:sub>
            <ns5:r>
              <ns5:t>j</ns5:t>
            </ns5:r>
          </ns5:sub>
        </ns5:sSub>
        <ns5:sSub>
          <ns5:e>
            <ns5:r>
              <ns5:t>w</ns5:t>
            </ns5:r>
          </ns5:e>
          <ns5:sub>
            <ns5:r>
              <ns5:t>j</ns5:t>
            </ns5:r>
          </ns5:sub>
        </ns5:sSub>
        <ns5:r>
          <ns5:rPr>
            <ns5:sty ns5:val="p"/>
          </ns5:rPr>
          <ns5:t>=</ns5:t>
        </ns5:r>
        <ns5:sSub>
          <ns5:e>
            <ns5:r>
              <ns5:t>f</ns5:t>
            </ns5:r>
          </ns5:e>
          <ns5:sub>
            <ns5:r>
              <ns5:t>j</ns5:t>
            </ns5:r>
          </ns5:sub>
        </ns5:sSub>
      </ns5:oMath>
      <w:r>
        <w:t xml:space="preserve">. Kur intervalet kanë gjerësi të barabartë, lartësia mund ta pasqyrojë drejtpërdrejt frekuencën. Kur gjerësitë ndryshojnë, duhen përdorur lartësitë e dendësisë, në mënyrë që sipërfaqja dhe jo vetëm lartësia të vazhdojë ta përfaqësojë frekuencën.</w:t>
      </w:r>
    </w:p>
    <w:bookmarkEnd w:id="45"/>
    <w:bookmarkStart w:id="50" w:name="si-lexohet-figura-shpjeguese"/>
    <w:p>
      <w:pPr>
        <w:pStyle w:val="Heading2"/>
      </w:pPr>
      <w:r>
        <w:t xml:space="preserve">Si lexohet figura shpjeguese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49" w:name="fig-summary-t01"/>
          <w:p>
            <w:pPr>
              <w:pStyle w:val="Compact"/>
              <w:keepNext/>
              <w:jc w:val="center"/>
            </w:pPr>
            <w:r>
              <w:drawing>
                <ns1:inline>
                  <ns1:extent cx="5561584" cy="3283344"/>
                  <ns1:effectExtent b="0" l="0" r="0" t="0"/>
                  <ns1:docPr descr="Histogram i pikëzimeve të simuluara të ankthit nga provimi prej zeros deri në dyzet, me shtyllat më të larta pranë qendrës dhe bishta më të rrallë në të dy skajet." title="Figura 1" id="47" name="Picture"/>
                  <ns2:graphic>
                    <ns2:graphicData uri="http://schemas.openxmlformats.org/drawingml/2006/picture">
                      <ns3:pic>
                        <ns3:nvPicPr>
                          <ns3:cNvPr descr="assets/topic-01-descriptive-statistics-summary-figure-sq.png" id="48" name="Picture"/>
                          <ns3:cNvPicPr>
                            <ns2:picLocks noChangeArrowheads="1" noChangeAspect="1"/>
                          </ns3:cNvPicPr>
                        </ns3:nvPicPr>
                        <ns3:blipFill>
                          <ns2:blip ns4:embed="rId46"/>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Figura 1: Histogram i pikëzimeve të simuluara të ankthit nga provimi prej zeros deri në dyzet, me shtyllat më të larta pranë qendrës dhe bishta më të rrallë në të dy skajet.</w:t>
            </w:r>
          </w:p>
          <w:bookmarkEnd w:id="49"/>
        </w:tc>
      </w:tr>
    </w:tbl>
    <w:p>
      <w:pPr>
        <w:pStyle w:val="BodyText"/>
      </w:pPr>
      <w:r>
        <w:t xml:space="preserve">Lexo fillimisht boshtin horizontal. Ai jep pikëzimet e ankthit nga provimi në një shkallë nga 0 deri në 40. Boshti vertikal jep numrin e studentëve, prandaj lartësia e secilës shtyllë është një frekuencë. Shtyllat rreth pikëzimeve 18 deri në 22 janë më të lartat, gjë që e vendos grumbullimin kryesor pranë qendrës së shkallës. Në skajin e poshtëm dhe të sipërm ka më pak vrojtime. Një shtyllë pranë 40 tregon se ka të paktën një vlerë të lartë, por vetëm grafiku nuk tregon nëse ajo vlerë është e gabuar. Para se ta gjykosh, duhet të kthehesh te përkufizimi i të dhënave dhe procesi i regjistrimit.</w:t>
      </w:r>
    </w:p>
    <w:p>
      <w:pPr>
        <w:pStyle w:val="BodyText"/>
      </w:pPr>
      <w:r>
        <w:t xml:space="preserve">Shtyllat prekin njëra-tjetrën sepse një shkallë numerike vazhdon përmes intervaleve fqinje. Gjerësia e tyre ka rëndësi: ndryshimi i kufijve të intervaleve mund t’i bëjë të njëjtat vrojtime të duken më shumë ose më pak të hollësishme. Prandaj figura duhet lexuar si pamje e një shpërndarjeje dhe jo si grup kategorish të ndara. Ajo mbështet pohime për qendrën, shpërhapjen, formën dhe vrojtimet e pazakonta. Nuk tregon një shkak të ankthit, nuk krahason një popullatë me një tjetër dhe nuk vërteton se modeli i simuluar ndodh te studentët realë.</w:t>
      </w:r>
    </w:p>
    <w:bookmarkEnd w:id="50"/>
    <w:bookmarkStart w:id="51" w:name="lista-e-kontrollit-për-interpretim"/>
    <w:p>
      <w:pPr>
        <w:pStyle w:val="Heading2"/>
      </w:pPr>
      <w:r>
        <w:t xml:space="preserve">Lista e kontrollit për interpretim</w:t>
      </w:r>
    </w:p>
    <w:p>
      <w:pPr>
        <w:pStyle w:val="FirstParagraph"/>
      </w:pPr>
      <w:r>
        <w:t xml:space="preserve">Fillo çdo përshkrim me rastet, ndryshoren, nivelin e saj të matjes dhe diapazonin e vlefshëm. Trego numrin e vrojtimeve të vlefshme dhe atyre që mungojnë. Për një ndryshore kategorike, raporto frekuencat bashkë me emëruesin dhe përpjesëtimet. Për një ndryshore numerike, bashko një grafik me masa të qendrës dhe ndryshueshmërisë. Përdor mesataren dhe devijimin standard kur interpretimi i tyre i përshtatet shpërndarjes. Shqyrto edhe medianën dhe diapazonin ndërkuartilor kur kanë rëndësi animi ose vrojtimet e pazakonta.</w:t>
      </w:r>
    </w:p>
    <w:p>
      <w:pPr>
        <w:pStyle w:val="BodyText"/>
      </w:pPr>
      <w:r>
        <w:t xml:space="preserve">Mbaje të dukshme njësinë. Një devijim standard prej pesë pikësh do të thotë diçka tjetër nga pesë orë. Mos e përshkruaj një grup si homogjen ose të ndryshueshëm pa një referencë që e bën krahasimin me kuptim. Kontrollo nëse një tabelë e rrumbullakosur ende jep totalin e pritur. Shënoji të dhënat e simuluara si të simuluara. Në fund, ndaj përshkrimin nga shpjegimi: një model në vlerat e vrojtuara tregon çfarë përmban grupi i të dhënave, ndërsa një shpjegim shkakor kërkon dizajn kërkimor dhe arsyetim përtej statistikës përshkruese.</w:t>
      </w:r>
    </w:p>
    <w:bookmarkEnd w:id="51"/>
    <w:bookmarkStart w:id="52" w:name="si-lidhet-kjo-temë-me-të-tjerat"/>
    <w:p>
      <w:pPr>
        <w:pStyle w:val="Heading2"/>
      </w:pPr>
      <w:r>
        <w:t xml:space="preserve">Si lidhet kjo temë me të tjerat</w:t>
      </w:r>
    </w:p>
    <w:p>
      <w:pPr>
        <w:pStyle w:val="FirstParagraph"/>
      </w:pPr>
      <w:r>
        <w:t xml:space="preserve">Statistika përshkruese siguron gjuhën që përdoret në tërë kursin. Probabiliteti shton rregulla për arsyetimin mbi rezultate të pasigurta. Inferenca statistikore përdor pastaj një kampion dhe ndryshueshmërinë e tij për të bërë pohime të kujdesshme për një popullatë. Kovarianca dhe korrelacioni pyesin si ndryshojnë së bashku dy ndryshore. Regresioni e shpreh një ndryshore rezultati si funksion të një ose më shumë ndryshoreve parashikuese, ndërsa korrelacioni i pjesshëm studion një lidhje pas përshtatjes lineare. Analiza e variancës krahason mesataret e grupeve duke e ndarë ndryshueshmërinë e përgjithshme në përbërës me kuptim.</w:t>
      </w:r>
    </w:p>
    <w:p>
      <w:pPr>
        <w:pStyle w:val="BodyText"/>
      </w:pPr>
      <w:r>
        <w:t xml:space="preserve">Zakoni qendror mbetet i pandryshuar: kupto ndryshoret, shqyrto shpërndarjen, llogarit një përmbledhje të përshtatshme dhe interpretoje në kontekst. Metodat e mëvonshme shtojnë pasiguri dhe modele, por nuk e heqin kurrë nevojën për një përshkrim të besueshëm të të dhënave që hynë në analizë.</w:t>
      </w:r>
    </w:p>
    <w:p>
      <w:pPr>
        <w:pBdr>
          <w:bottom w:val="single" w:sz="4" w:space="6" w:color="B8C6CF"/>
        </w:pBdr>
        <w:spacing w:before="60" w:after="100"/>
      </w:pPr>
    </w:p>
    <w:p>
      <w:pPr>
        <w:pStyle w:val="FirstParagraph"/>
      </w:pPr>
      <w:r>
        <w:rPr>
          <w:i/>
          <w:iCs/>
        </w:rPr>
        <w:t xml:space="preserve">ID-ja e dokumentit:</w:t>
      </w:r>
      <w:r>
        <w:rPr>
          <w:i/>
          <w:iCs/>
        </w:rPr>
        <w:t xml:space="preserve"> </w:t>
      </w:r>
      <w:r>
        <w:rPr>
          <w:rStyle w:val="VerbatimChar"/>
          <w:i/>
          <w:iCs/>
        </w:rPr>
        <w:t xml:space="preserve">topic-01-descriptive-statistics-summary-sq</w:t>
      </w:r>
    </w:p>
    <w:p>
      <w:r>
        <w:br w:type="page"/>
      </w:r>
    </w:p>
    <w:p>
      <w:pPr>
        <w:pStyle w:val="Heading1"/>
      </w:pPr>
      <w:r>
        <w:t>Shënime 1 nga 3</w:t>
      </w:r>
    </w:p>
    <w:p>
      <w:r>
        <w:rPr>
          <w:color w:val="526A79"/>
          <w:sz w:val="18"/>
          <w:szCs w:val="18"/>
        </w:rPr>
        <w:t>Statistika përshkruese | Tema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2 nga 3</w:t>
      </w:r>
    </w:p>
    <w:p>
      <w:r>
        <w:rPr>
          <w:color w:val="526A79"/>
          <w:sz w:val="18"/>
          <w:szCs w:val="18"/>
        </w:rPr>
        <w:t>Statistika përshkruese | Tema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3 nga 3</w:t>
      </w:r>
    </w:p>
    <w:p>
      <w:r>
        <w:rPr>
          <w:color w:val="526A79"/>
          <w:sz w:val="18"/>
          <w:szCs w:val="18"/>
        </w:rPr>
        <w:t>Statistika përshkruese | Tema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52"/>
    <w:bookmarkEnd w:id="53"/>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sq-AL" w:eastAsia="sq-AL" w:bidi="sq-AL"/>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sq-AL"/>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Statistika përshkruese</dc:title>
  <dc:creator>Ratiomera Statistics</dc:creator>
  <dc:language>sq-AL</dc:language>
  <cp:keywords/>
  <dcterms:created xsi:type="dcterms:W3CDTF">1970-01-01T00:00:00Z</dcterms:created>
  <dcterms:modified xsi:type="dcterms:W3CDTF">1970-01-01T00:00:00Z</dcterms:modified>
  <dc:subject>Përmbledhje teme nga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Një udhëzues i afërt për ndryshoret, shpërndarjet dhe përmbledhjet numerike</vt:lpwstr>
  </property>
  <property fmtid="{D5CDD505-2E9C-101B-9397-08002B2CF9AE}" pid="13" name="toc-title">
    <vt:lpwstr>Përmbajtja</vt:lpwstr>
  </property>
</Properties>
</file>