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4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Probabiliteti</w:t>
      </w:r>
    </w:p>
    <w:p>
      <w:pPr>
        <w:pStyle w:val="Subtitle"/>
      </w:pPr>
      <w:r>
        <w:t xml:space="preserve">Një udhëzues për ngjarjet, arsyetimin e kushtëzuar dhe ndryshoret e rastësishme</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sq/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Hyrje në Statistikë | Tema 2</w:t>
      </w:r>
    </w:p>
    <w:bookmarkStart w:id="36" w:name="përmbledhja-e-faqes-së-kursit"/>
    <w:p>
      <w:pPr>
        <w:pStyle w:val="Heading1"/>
      </w:pPr>
      <w:r>
        <w:t xml:space="preserve">Përmbledhja e faqes së kursit</w:t>
      </w:r>
    </w:p>
    <w:p>
      <w:pPr>
        <w:pStyle w:val="FirstParagraph"/>
      </w:pPr>
      <w:r>
        <w:t xml:space="preserve">Probabiliteti është gjuha formale për përcaktimin sasior të pasigurisë. Interpretimi frekuentist përdor frekuencë relative afatgjatë, përkufizimi klasik zbatohet për rezultate po aq të mundshme, dhe interpretimi subjektiv përfaqëson një shkallë besimi.</w:t>
      </w:r>
    </w:p>
    <w:p>
      <w:pPr>
        <w:pStyle w:val="BodyText"/>
      </w:pPr>
      <w:r>
        <w:t xml:space="preserve">Rregullat e komplementit, mbledhjes dhe shumëzimit ofrojnë një sistem të qëndrueshëm për kombinimin e probabiliteteve të ngjarjeve. Probabiliteti i kushtëzuar dhe teorema e Bayes-it përshkruajnë se si provat ndryshojnë probabilitetet, me aplikime të drejtpërdrejta në testimin diagnostik dhe arsyetimin me normë bazë.</w:t>
      </w:r>
    </w:p>
    <w:p>
      <w:pPr>
        <w:pStyle w:val="BodyText"/>
      </w:pPr>
      <w:r>
        <w:t xml:space="preserve">Ndryshoret e rastësishme formalizojnë rezultatet numerike. Ndryshoret diskrete përdorin funksione probabiliteti, kurse ndryshoret e vazhdueshme përdorin funksione dendësie dhe u caktojnë probabilitet intervaleve. Shpërndarjet binomiale dhe normale janë dy modele të rëndësishme, ndërsa pikëzimet z e lidhin një shpërndarje normale me një shkallë të përbashkët reference.</w:t>
      </w:r>
    </w:p>
    <w:p>
      <w:pPr>
        <w:pStyle w:val="BodyText"/>
      </w:pPr>
      <w:r>
        <w:t xml:space="preserve">Shpërndarjet e kampionimit përshkruajnë si ndryshojnë statistikat ndërmjet kampioneve të përsëritura. Gabimi standard i mesatares zvogëlohet kur rritet madhësia e kampionit. Në kushte pavarësie dhe me variancë të fundme, teorema e kufirit qendror mund të arsyetojë një përafrim normal për kampione mjaft të mëdha. Sa e madhe duhet të jetë madhësia varet nga forma e popullatës dhe nga analiza. Gjithashtu, saktësia më e madhe nuk garanton përfaqësueshmëri, sepse mbulimi i pamjaftueshëm, vetëpërzgjedhja dhe mospërgjigjja mund ta anojnë edhe një kampion shumë të madh.</w:t>
      </w:r>
    </w:p>
    <w:p>
      <w:pPr>
        <w:pBdr>
          <w:bottom w:val="single" w:sz="4" w:space="6" w:color="B8C6CF"/>
        </w:pBdr>
        <w:spacing w:before="60" w:after="100"/>
      </w:pPr>
    </w:p>
    <w:bookmarkStart w:id="24" w:name="supozimet-dhe-kontrollet-praktike"/>
    <w:p>
      <w:pPr>
        <w:pStyle w:val="Heading2"/>
      </w:pPr>
      <w:r>
        <w:t xml:space="preserve">Supozimet dhe kontrollet praktike</w:t>
      </w:r>
    </w:p>
    <w:bookmarkStart w:id="23" w:name="tbl-summary-probability-assumptions"/>
    <w:p>
      <w:pPr>
        <w:pStyle w:val="TableCaption"/>
        <w:keepNext/>
        <w:keepLines/>
        <w:widowControl/>
        <w:spacing w:before="120" w:after="80"/>
        <w:jc w:val="left"/>
      </w:pPr>
      <w:r>
        <w:t xml:space="preserve">Tabela 1: Supozimet dhe kontrollet për mjetet kryesore të probabilitetit.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333"/>
        <w:gridCol w:w="3239"/>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Modeli ose llogaritja</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Çfarë duhet të jetë e vërtetë</w:t>
            </w:r>
          </w:p>
        </w:tc>
        <w:tc>
          <w:tcPr>
            <w:tcW w:w="3239" w:type="dxa"/>
            <w:shd w:fill="EAF2F6"/>
            <w:vAlign w:val="center"/>
          </w:tcPr>
          <w:p>
            <w:pPr>
              <w:pStyle w:val="Compact"/>
              <w:keepLines/>
              <w:widowControl/>
              <w:spacing w:before="0" w:after="40" w:line="240" w:lineRule="auto"/>
              <w:jc w:val="left"/>
            </w:pPr>
            <w:r>
              <w:rPr>
                <w:b/>
                <w:color w:val="183B56"/>
                <w:sz w:val="20"/>
                <w:szCs w:val="20"/>
              </w:rPr>
              <w:t xml:space="preserve">Kontrolli praktik</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Probabiliteti klasik</w:t>
            </w:r>
          </w:p>
        </w:tc>
        <w:tc>
          <w:tcPr>
            <w:tcW w:w="3333" w:type="dxa"/>
            <w:shd w:fill="F3F7F9"/>
            <w:vAlign w:val="top"/>
          </w:tcPr>
          <w:p>
            <w:pPr>
              <w:pStyle w:val="Compact"/>
              <w:keepLines/>
              <w:widowControl/>
              <w:spacing w:before="0" w:after="40" w:line="240" w:lineRule="auto"/>
              <w:jc w:val="center"/>
            </w:pPr>
            <w:r>
              <w:rPr>
                <w:sz w:val="20"/>
                <w:szCs w:val="20"/>
              </w:rPr>
              <w:t xml:space="preserve">Rezultatet e listuara janë vërtet njësoj të mundshme</w:t>
            </w:r>
          </w:p>
        </w:tc>
        <w:tc>
          <w:tcPr>
            <w:tcW w:w="3239" w:type="dxa"/>
            <w:shd w:fill="F3F7F9"/>
            <w:vAlign w:val="top"/>
          </w:tcPr>
          <w:p>
            <w:pPr>
              <w:pStyle w:val="Compact"/>
              <w:keepLines/>
              <w:widowControl/>
              <w:spacing w:before="0" w:after="40" w:line="240" w:lineRule="auto"/>
              <w:jc w:val="center"/>
            </w:pPr>
            <w:r>
              <w:rPr>
                <w:sz w:val="20"/>
                <w:szCs w:val="20"/>
              </w:rPr>
              <w:t xml:space="preserve">Arsyetoje mundësinë e barabartë nga dizajni, jo nga lehtësia</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Probabiliteti i kushtëzuar</w:t>
            </w:r>
          </w:p>
        </w:tc>
        <w:tc>
          <w:tcPr>
            <w:tcW w:w="3333" w:type="dxa"/>
            <w:shd w:fill="FFFFFF"/>
            <w:vAlign w:val="top"/>
          </w:tcPr>
          <w:p>
            <w:pPr>
              <w:pStyle w:val="Compact"/>
              <w:keepLines/>
              <w:widowControl/>
              <w:spacing w:before="0" w:after="40" w:line="240" w:lineRule="auto"/>
              <w:jc w:val="center"/>
            </w:pPr>
            <w:r>
              <w:rPr>
                <w:sz w:val="20"/>
                <w:szCs w:val="20"/>
              </w:rPr>
              <w:t xml:space="preserve">Ngjarja kushtëzuese ka probabilitet pozitiv</w:t>
            </w:r>
          </w:p>
        </w:tc>
        <w:tc>
          <w:tcPr>
            <w:tcW w:w="3239" w:type="dxa"/>
            <w:shd w:fill="FFFFFF"/>
            <w:vAlign w:val="top"/>
          </w:tcPr>
          <w:p>
            <w:pPr>
              <w:pStyle w:val="Compact"/>
              <w:keepLines/>
              <w:widowControl/>
              <w:spacing w:before="0" w:after="40" w:line="240" w:lineRule="auto"/>
              <w:jc w:val="center"/>
            </w:pPr>
            <w:r>
              <w:rPr>
                <w:sz w:val="20"/>
                <w:szCs w:val="20"/>
              </w:rPr>
              <w:t xml:space="preserve">Thuaj grupin e kufizuar dhe përdor madhësinë e tij si emërues</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Shpërndarja binomiale</w:t>
            </w:r>
          </w:p>
        </w:tc>
        <w:tc>
          <w:tcPr>
            <w:tcW w:w="3333" w:type="dxa"/>
            <w:shd w:fill="F3F7F9"/>
            <w:vAlign w:val="top"/>
          </w:tcPr>
          <w:p>
            <w:pPr>
              <w:pStyle w:val="Compact"/>
              <w:keepLines/>
              <w:widowControl/>
              <w:spacing w:before="0" w:after="40" w:line="240" w:lineRule="auto"/>
              <w:jc w:val="center"/>
            </w:pPr>
            <ns5:oMath>
              <ns5:r>
                <ns5:t>n</ns5:t>
              </ns5:r>
            </ns5:oMath>
            <w:r>
              <w:rPr>
                <w:sz w:val="20"/>
                <w:szCs w:val="20"/>
              </w:rPr>
              <w:t xml:space="preserve"> </w:t>
            </w:r>
            <w:r>
              <w:rPr>
                <w:sz w:val="20"/>
                <w:szCs w:val="20"/>
              </w:rPr>
              <w:t xml:space="preserve">fikse, dy rezultate për provë,</w:t>
            </w:r>
            <w:r>
              <w:rPr>
                <w:sz w:val="20"/>
                <w:szCs w:val="20"/>
              </w:rPr>
              <w:t xml:space="preserve"> </w:t>
            </w:r>
            <ns5:oMath>
              <ns5:r>
                <ns5:t>π</ns5:t>
              </ns5:r>
            </ns5:oMath>
            <w:r>
              <w:rPr>
                <w:sz w:val="20"/>
                <w:szCs w:val="20"/>
              </w:rPr>
              <w:t xml:space="preserve"> </w:t>
            </w:r>
            <w:r>
              <w:rPr>
                <w:sz w:val="20"/>
                <w:szCs w:val="20"/>
              </w:rPr>
              <w:t xml:space="preserve">konstante dhe prova të pavarura</w:t>
            </w:r>
          </w:p>
        </w:tc>
        <w:tc>
          <w:tcPr>
            <w:tcW w:w="3239" w:type="dxa"/>
            <w:shd w:fill="F3F7F9"/>
            <w:vAlign w:val="top"/>
          </w:tcPr>
          <w:p>
            <w:pPr>
              <w:pStyle w:val="Compact"/>
              <w:keepLines/>
              <w:widowControl/>
              <w:spacing w:before="0" w:after="40" w:line="240" w:lineRule="auto"/>
              <w:jc w:val="center"/>
            </w:pPr>
            <w:r>
              <w:rPr>
                <w:sz w:val="20"/>
                <w:szCs w:val="20"/>
              </w:rPr>
              <w:t xml:space="preserve">Kontrollo dizajnin para se ta përdorësh formulën</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Modeli normal</w:t>
            </w:r>
          </w:p>
        </w:tc>
        <w:tc>
          <w:tcPr>
            <w:tcW w:w="3333" w:type="dxa"/>
            <w:shd w:fill="FFFFFF"/>
            <w:vAlign w:val="top"/>
          </w:tcPr>
          <w:p>
            <w:pPr>
              <w:pStyle w:val="Compact"/>
              <w:keepLines/>
              <w:widowControl/>
              <w:spacing w:before="0" w:after="40" w:line="240" w:lineRule="auto"/>
              <w:jc w:val="center"/>
            </w:pPr>
            <w:r>
              <w:rPr>
                <w:sz w:val="20"/>
                <w:szCs w:val="20"/>
              </w:rPr>
              <w:t xml:space="preserve">Shpërndarja që modelohet përafrohet mjaft mirë nga një lakore normale</w:t>
            </w:r>
          </w:p>
        </w:tc>
        <w:tc>
          <w:tcPr>
            <w:tcW w:w="3239" w:type="dxa"/>
            <w:shd w:fill="FFFFFF"/>
            <w:vAlign w:val="top"/>
          </w:tcPr>
          <w:p>
            <w:pPr>
              <w:pStyle w:val="Compact"/>
              <w:keepLines/>
              <w:widowControl/>
              <w:spacing w:before="0" w:after="40" w:line="240" w:lineRule="auto"/>
              <w:jc w:val="center"/>
            </w:pPr>
            <w:r>
              <w:rPr>
                <w:sz w:val="20"/>
                <w:szCs w:val="20"/>
              </w:rPr>
              <w:t xml:space="preserve">Shqyrto formën, kufijtë, përzierjet dhe vëzhgimet e pazakonta</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Gabimi standard dhe teorema e kufirit qendror</w:t>
            </w:r>
          </w:p>
        </w:tc>
        <w:tc>
          <w:tcPr>
            <w:tcW w:w="3333" w:type="dxa"/>
            <w:shd w:fill="F3F7F9"/>
            <w:vAlign w:val="top"/>
          </w:tcPr>
          <w:p>
            <w:pPr>
              <w:pStyle w:val="Compact"/>
              <w:keepLines/>
              <w:widowControl/>
              <w:spacing w:before="0" w:after="40" w:line="240" w:lineRule="auto"/>
              <w:jc w:val="center"/>
            </w:pPr>
            <w:r>
              <w:rPr>
                <w:sz w:val="20"/>
                <w:szCs w:val="20"/>
              </w:rPr>
              <w:t xml:space="preserve">Kampionim i pavarur ose dizajn i përshtatshëm, variancë e fundme dhe informacion i mjaftueshëm për përafrimin</w:t>
            </w:r>
          </w:p>
        </w:tc>
        <w:tc>
          <w:tcPr>
            <w:tcW w:w="3239" w:type="dxa"/>
            <w:shd w:fill="F3F7F9"/>
            <w:vAlign w:val="top"/>
          </w:tcPr>
          <w:p>
            <w:pPr>
              <w:pStyle w:val="Compact"/>
              <w:keepLines/>
              <w:widowControl/>
              <w:spacing w:before="0" w:after="40" w:line="240" w:lineRule="auto"/>
              <w:jc w:val="center"/>
            </w:pPr>
            <w:r>
              <w:rPr>
                <w:sz w:val="20"/>
                <w:szCs w:val="20"/>
              </w:rPr>
              <w:t xml:space="preserve">Shqyrto procesin e kampionimit dhe formën e popullatës, jo vetëm madhësinë e kampionit</w:t>
            </w:r>
          </w:p>
        </w:tc>
      </w:tr>
    </w:tbl>
    <w:bookmarkEnd w:id="23"/>
    <w:p/>
    <w:bookmarkEnd w:id="24"/>
    <w:bookmarkStart w:id="25" w:name="çfarë-mund-të-bësh-tani"/>
    <w:p>
      <w:pPr>
        <w:pStyle w:val="Heading2"/>
      </w:pPr>
      <w:r>
        <w:t xml:space="preserve">Çfarë mund të bësh tani</w:t>
      </w:r>
    </w:p>
    <w:p>
      <w:pPr>
        <w:pStyle w:val="FirstParagraph"/>
      </w:pPr>
      <w:r>
        <w:t xml:space="preserve">Tani mund t’i përkthesh pyetjet e zakonshme për pasigurinë në simbolikë ngjarjesh, ta zgjedhësh dhe ta zbatosh rregullin përkatës të probabilitetit, të punosh me modele diskrete dhe të vazhdueshme, t’i standardizosh vlerat normale dhe të shpjegosh çfarë tregojnë shpërndarjet e kampionimit dhe gabimet standarde për ndryshimin në kampione të përsëritura. Mund t’i thuash edhe supozimet pas këtyre mjeteve, ta dallosh kur një llogaritje është vetëm përafrim dhe të shpjegosh pse një vlerësim i saktë mund të jetë ende i anuar nga mënyra e përzgjedhjes së kampionit.</w:t>
      </w:r>
    </w:p>
    <w:p>
      <w:pPr>
        <w:pBdr>
          <w:bottom w:val="single" w:sz="4" w:space="6" w:color="B8C6CF"/>
        </w:pBdr>
        <w:spacing w:before="60" w:after="100"/>
      </w:pPr>
    </w:p>
    <w:bookmarkEnd w:id="25"/>
    <w:bookmarkStart w:id="27" w:name="përkufizime-dhe-koncepte-thelbësore"/>
    <w:p>
      <w:pPr>
        <w:pStyle w:val="Heading2"/>
      </w:pPr>
      <w:r>
        <w:t xml:space="preserve">Përkufizime dhe koncepte thelbësore</w:t>
      </w:r>
    </w:p>
    <w:bookmarkStart w:id="26" w:name="tbl-summary-probability-concepts"/>
    <w:p>
      <w:pPr>
        <w:pStyle w:val="TableCaption"/>
        <w:keepNext/>
        <w:keepLines/>
        <w:widowControl/>
        <w:spacing w:before="120" w:after="80"/>
        <w:jc w:val="left"/>
      </w:pPr>
      <w:r>
        <w:t xml:space="preserve">Tabela 2: Konceptet themelore të probabilitetit dhe kampionimit.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4000"/>
        <w:gridCol w:w="5524"/>
      </w:tblGrid>
      <w:tr>
        <w:trPr>
          <w:cantSplit/>
          <w:tblHeader w:val="on"/>
        </w:trPr>
        <w:tc>
          <w:tcPr>
            <w:tcW w:w="4000" w:type="dxa"/>
            <w:shd w:fill="EAF2F6"/>
            <w:vAlign w:val="center"/>
          </w:tcPr>
          <w:p>
            <w:pPr>
              <w:pStyle w:val="Compact"/>
              <w:keepLines/>
              <w:widowControl/>
              <w:spacing w:before="0" w:after="40" w:line="240" w:lineRule="auto"/>
              <w:jc w:val="left"/>
            </w:pPr>
            <w:r>
              <w:rPr>
                <w:b/>
                <w:color w:val="183B56"/>
                <w:sz w:val="20"/>
                <w:szCs w:val="20"/>
              </w:rPr>
              <w:t xml:space="preserve">Koncepti</w:t>
            </w:r>
          </w:p>
        </w:tc>
        <w:tc>
          <w:tcPr>
            <w:tcW w:w="5524" w:type="dxa"/>
            <w:shd w:fill="EAF2F6"/>
            <w:vAlign w:val="center"/>
          </w:tcPr>
          <w:p>
            <w:pPr>
              <w:pStyle w:val="Compact"/>
              <w:keepLines/>
              <w:widowControl/>
              <w:spacing w:before="0" w:after="40" w:line="240" w:lineRule="auto"/>
              <w:jc w:val="left"/>
            </w:pPr>
            <w:r>
              <w:rPr>
                <w:b/>
                <w:color w:val="183B56"/>
                <w:sz w:val="20"/>
                <w:szCs w:val="20"/>
              </w:rPr>
              <w:t xml:space="preserve">Përkufizimi</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Hapësira e rezultateve (</w:t>
            </w:r>
            <ns5:oMath>
              <ns5:r>
                <ns5:t>Ω</ns5:t>
              </ns5:r>
            </ns5:oMath>
            <w:r>
              <w:rPr>
                <w:sz w:val="20"/>
                <w:szCs w:val="20"/>
              </w:rPr>
              <w:t xml:space="preserve">)</w:t>
            </w:r>
          </w:p>
        </w:tc>
        <w:tc>
          <w:tcPr>
            <w:tcW w:w="5524" w:type="dxa"/>
            <w:shd w:fill="F3F7F9"/>
            <w:vAlign w:val="top"/>
          </w:tcPr>
          <w:p>
            <w:pPr>
              <w:pStyle w:val="Compact"/>
              <w:keepLines/>
              <w:widowControl/>
              <w:spacing w:before="0" w:after="40" w:line="240" w:lineRule="auto"/>
              <w:jc w:val="center"/>
            </w:pPr>
            <w:r>
              <w:rPr>
                <w:sz w:val="20"/>
                <w:szCs w:val="20"/>
              </w:rPr>
              <w:t xml:space="preserve">Bashkësia e të gjitha rezultateve të mundshme të një eksperimenti të rastësishëm</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Ngjarja (</w:t>
            </w:r>
            <ns5:oMath>
              <ns5:r>
                <ns5:t>A</ns5:t>
              </ns5:r>
            </ns5:oMath>
            <w:r>
              <w:rPr>
                <w:sz w:val="20"/>
                <w:szCs w:val="20"/>
              </w:rPr>
              <w:t xml:space="preserve">)</w:t>
            </w:r>
          </w:p>
        </w:tc>
        <w:tc>
          <w:tcPr>
            <w:tcW w:w="5524" w:type="dxa"/>
            <w:shd w:fill="FFFFFF"/>
            <w:vAlign w:val="top"/>
          </w:tcPr>
          <w:p>
            <w:pPr>
              <w:pStyle w:val="Compact"/>
              <w:keepLines/>
              <w:widowControl/>
              <w:spacing w:before="0" w:after="40" w:line="240" w:lineRule="auto"/>
              <w:jc w:val="center"/>
            </w:pPr>
            <w:r>
              <w:rPr>
                <w:sz w:val="20"/>
                <w:szCs w:val="20"/>
              </w:rPr>
              <w:t xml:space="preserve">Çdo nënbashkësi e hapësirës së rezultateve</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Komplement (</w:t>
            </w:r>
            <ns5:oMath>
              <ns5:r>
                <ns5:t>A</ns5:t>
              </ns5:r>
              <ns5:r>
                <ns5:rPr>
                  <ns5:sty ns5:val="p"/>
                </ns5:rPr>
                <ns5:t>′</ns5:t>
              </ns5:r>
            </ns5:oMath>
            <w:r>
              <w:rPr>
                <w:sz w:val="20"/>
                <w:szCs w:val="20"/>
              </w:rPr>
              <w:t xml:space="preserve">)</w:t>
            </w:r>
          </w:p>
        </w:tc>
        <w:tc>
          <w:tcPr>
            <w:tcW w:w="5524" w:type="dxa"/>
            <w:shd w:fill="F3F7F9"/>
            <w:vAlign w:val="top"/>
          </w:tcPr>
          <w:p>
            <w:pPr>
              <w:pStyle w:val="Compact"/>
              <w:keepLines/>
              <w:widowControl/>
              <w:spacing w:before="0" w:after="40" w:line="240" w:lineRule="auto"/>
              <w:jc w:val="center"/>
            </w:pPr>
            <w:r>
              <w:rPr>
                <w:sz w:val="20"/>
                <w:szCs w:val="20"/>
              </w:rPr>
              <w:t xml:space="preserve">Të gjitha rezultatet në</w:t>
            </w:r>
            <w:r>
              <w:rPr>
                <w:sz w:val="20"/>
                <w:szCs w:val="20"/>
              </w:rPr>
              <w:t xml:space="preserve"> </w:t>
            </w:r>
            <ns5:oMath>
              <ns5:r>
                <ns5:t>Ω</ns5:t>
              </ns5:r>
            </ns5:oMath>
            <w:r>
              <w:rPr>
                <w:sz w:val="20"/>
                <w:szCs w:val="20"/>
              </w:rPr>
              <w:t xml:space="preserve"> </w:t>
            </w:r>
            <w:r>
              <w:rPr>
                <w:sz w:val="20"/>
                <w:szCs w:val="20"/>
              </w:rPr>
              <w:t xml:space="preserve">jo në</w:t>
            </w:r>
            <w:r>
              <w:rPr>
                <w:sz w:val="20"/>
                <w:szCs w:val="20"/>
              </w:rPr>
              <w:t xml:space="preserve"> </w:t>
            </w:r>
            <ns5:oMath>
              <ns5:r>
                <ns5:t>A</ns5:t>
              </ns5:r>
            </ns5:oMath>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Probabiliteti klasik</w:t>
            </w:r>
          </w:p>
        </w:tc>
        <w:tc>
          <w:tcPr>
            <w:tcW w:w="5524"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e>
              </ns5:d>
              <ns5:r>
                <ns5:rPr>
                  <ns5:sty ns5:val="p"/>
                </ns5:rPr>
                <ns5:t>=</ns5:t>
              </ns5:r>
              <ns5:r>
                <ns5:t>m</ns5:t>
              </ns5:r>
              <ns5:r>
                <ns5:rPr>
                  <ns5:sty ns5:val="p"/>
                </ns5:rPr>
                <ns5:t>/</ns5:t>
              </ns5:r>
              <ns5:r>
                <ns5:t>n</ns5:t>
              </ns5:r>
            </ns5:oMath>
            <w:r>
              <w:rPr>
                <w:sz w:val="20"/>
                <w:szCs w:val="20"/>
              </w:rPr>
              <w:t xml:space="preserve">, ku</w:t>
            </w:r>
            <w:r>
              <w:rPr>
                <w:sz w:val="20"/>
                <w:szCs w:val="20"/>
              </w:rPr>
              <w:t xml:space="preserve"> </w:t>
            </w:r>
            <ns5:oMath>
              <ns5:r>
                <ns5:t>m</ns5:t>
              </ns5:r>
            </ns5:oMath>
            <w:r>
              <w:rPr>
                <w:sz w:val="20"/>
                <w:szCs w:val="20"/>
              </w:rPr>
              <w:t xml:space="preserve"> </w:t>
            </w:r>
            <w:r>
              <w:rPr>
                <w:sz w:val="20"/>
                <w:szCs w:val="20"/>
              </w:rPr>
              <w:t xml:space="preserve">është numri i rezultateve të favorshme dhe</w:t>
            </w:r>
            <w:r>
              <w:rPr>
                <w:sz w:val="20"/>
                <w:szCs w:val="20"/>
              </w:rPr>
              <w:t xml:space="preserve"> </w:t>
            </w:r>
            <ns5:oMath>
              <ns5:r>
                <ns5:t>n</ns5:t>
              </ns5:r>
            </ns5:oMath>
            <w:r>
              <w:rPr>
                <w:sz w:val="20"/>
                <w:szCs w:val="20"/>
              </w:rPr>
              <w:t xml:space="preserve"> </w:t>
            </w:r>
            <w:r>
              <w:rPr>
                <w:sz w:val="20"/>
                <w:szCs w:val="20"/>
              </w:rPr>
              <w:t xml:space="preserve">është numri i përgjithshëm i rezultateve njësoj të mundshme</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Probabiliteti frekuentist</w:t>
            </w:r>
          </w:p>
        </w:tc>
        <w:tc>
          <w:tcPr>
            <w:tcW w:w="5524" w:type="dxa"/>
            <w:shd w:fill="F3F7F9"/>
            <w:vAlign w:val="top"/>
          </w:tcPr>
          <w:p>
            <w:pPr>
              <w:pStyle w:val="Compact"/>
              <w:keepLines/>
              <w:widowControl/>
              <w:spacing w:before="0" w:after="40" w:line="240" w:lineRule="auto"/>
              <w:jc w:val="center"/>
            </w:pPr>
            <w:r>
              <w:rPr>
                <w:sz w:val="20"/>
                <w:szCs w:val="20"/>
              </w:rPr>
              <w:t xml:space="preserve">Frekuenca relative afatgjatë mbi shumë përsëritje</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Ngjarje që përjashtojnë njëra-tjetrën</w:t>
            </w:r>
          </w:p>
        </w:tc>
        <w:tc>
          <w:tcPr>
            <w:tcW w:w="5524" w:type="dxa"/>
            <w:shd w:fill="FFFFFF"/>
            <w:vAlign w:val="top"/>
          </w:tcPr>
          <w:p>
            <w:pPr>
              <w:pStyle w:val="Compact"/>
              <w:keepLines/>
              <w:widowControl/>
              <w:spacing w:before="0" w:after="40" w:line="240" w:lineRule="auto"/>
              <w:jc w:val="center"/>
            </w:pPr>
            <w:r>
              <w:rPr>
                <w:sz w:val="20"/>
                <w:szCs w:val="20"/>
              </w:rPr>
              <w:t xml:space="preserve">Dy ngjarje që nuk mund të ndodhin të dyja (</w:t>
            </w:r>
            <ns5:oMath>
              <ns5:r>
                <ns5:t>A</ns5:t>
              </ns5:r>
              <ns5:r>
                <ns5:rPr>
                  <ns5:sty ns5:val="p"/>
                </ns5:rPr>
                <ns5:t>∩</ns5:t>
              </ns5:r>
              <ns5:r>
                <ns5:t>B</ns5:t>
              </ns5:r>
              <ns5:r>
                <ns5:rPr>
                  <ns5:sty ns5:val="p"/>
                </ns5:rPr>
                <ns5:t>=</ns5:t>
              </ns5:r>
              <ns5:r>
                <ns5:rPr>
                  <ns5:sty ns5:val="p"/>
                </ns5:rPr>
                <ns5:t>∅</ns5:t>
              </ns5:r>
            </ns5:oMath>
            <w:r>
              <w:rPr>
                <w:sz w:val="20"/>
                <w:szCs w:val="20"/>
              </w:rPr>
              <w:t xml:space="preserve">)</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Ngjarje të pavarura</w:t>
            </w:r>
          </w:p>
        </w:tc>
        <w:tc>
          <w:tcPr>
            <w:tcW w:w="5524"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e>
              </ns5:d>
              <ns5:r>
                <ns5:t>P</ns5:t>
              </ns5:r>
              <ns5:d>
                <ns5:dPr>
                  <ns5:begChr ns5:val="("/>
                  <ns5:sepChr ns5:val=""/>
                  <ns5:endChr ns5:val=")"/>
                  <ns5:grow/>
                </ns5:dPr>
                <ns5:e>
                  <ns5:r>
                    <ns5:t>B</ns5:t>
                  </ns5:r>
                </ns5:e>
              </ns5:d>
            </ns5:oMath>
            <w:r>
              <w:rPr>
                <w:sz w:val="20"/>
                <w:szCs w:val="20"/>
              </w:rPr>
              <w:t xml:space="preserve">: ndodhja e njërës nuk ndryshon probabilitetin e tjetrës</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Popullata</w:t>
            </w:r>
          </w:p>
        </w:tc>
        <w:tc>
          <w:tcPr>
            <w:tcW w:w="5524" w:type="dxa"/>
            <w:shd w:fill="FFFFFF"/>
            <w:vAlign w:val="top"/>
          </w:tcPr>
          <w:p>
            <w:pPr>
              <w:pStyle w:val="Compact"/>
              <w:keepLines/>
              <w:widowControl/>
              <w:spacing w:before="0" w:after="40" w:line="240" w:lineRule="auto"/>
              <w:jc w:val="center"/>
            </w:pPr>
            <w:r>
              <w:rPr>
                <w:sz w:val="20"/>
                <w:szCs w:val="20"/>
              </w:rPr>
              <w:t xml:space="preserve">Të gjitha njësitë potencialisht të vëzhgueshme që kanë karakteristikën e interesit</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Kampioni</w:t>
            </w:r>
          </w:p>
        </w:tc>
        <w:tc>
          <w:tcPr>
            <w:tcW w:w="5524" w:type="dxa"/>
            <w:shd w:fill="F3F7F9"/>
            <w:vAlign w:val="top"/>
          </w:tcPr>
          <w:p>
            <w:pPr>
              <w:pStyle w:val="Compact"/>
              <w:keepLines/>
              <w:widowControl/>
              <w:spacing w:before="0" w:after="40" w:line="240" w:lineRule="auto"/>
              <w:jc w:val="center"/>
            </w:pPr>
            <w:r>
              <w:rPr>
                <w:sz w:val="20"/>
                <w:szCs w:val="20"/>
              </w:rPr>
              <w:t xml:space="preserve">Një nënbashkësi e nxjerrë nga popullata</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Kampioni i thjeshtë i rastësishëm</w:t>
            </w:r>
          </w:p>
        </w:tc>
        <w:tc>
          <w:tcPr>
            <w:tcW w:w="5524" w:type="dxa"/>
            <w:shd w:fill="FFFFFF"/>
            <w:vAlign w:val="top"/>
          </w:tcPr>
          <w:p>
            <w:pPr>
              <w:pStyle w:val="Compact"/>
              <w:keepLines/>
              <w:widowControl/>
              <w:spacing w:before="0" w:after="40" w:line="240" w:lineRule="auto"/>
              <w:jc w:val="center"/>
            </w:pPr>
            <w:r>
              <w:rPr>
                <w:sz w:val="20"/>
                <w:szCs w:val="20"/>
              </w:rPr>
              <w:t xml:space="preserve">Çdo kampion i mundshëm i një madhësie fikse ka probabilitet të barabartë përzgjedhjeje</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Korniza e kampionimit</w:t>
            </w:r>
          </w:p>
        </w:tc>
        <w:tc>
          <w:tcPr>
            <w:tcW w:w="5524" w:type="dxa"/>
            <w:shd w:fill="F3F7F9"/>
            <w:vAlign w:val="top"/>
          </w:tcPr>
          <w:p>
            <w:pPr>
              <w:pStyle w:val="Compact"/>
              <w:keepLines/>
              <w:widowControl/>
              <w:spacing w:before="0" w:after="40" w:line="240" w:lineRule="auto"/>
              <w:jc w:val="center"/>
            </w:pPr>
            <w:r>
              <w:rPr>
                <w:sz w:val="20"/>
                <w:szCs w:val="20"/>
              </w:rPr>
              <w:t xml:space="preserve">Lista ose mekanizmi operativ përmes të cilit mund të përzgjidhen njësitë e popullatës</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Parametri</w:t>
            </w:r>
          </w:p>
        </w:tc>
        <w:tc>
          <w:tcPr>
            <w:tcW w:w="5524" w:type="dxa"/>
            <w:shd w:fill="FFFFFF"/>
            <w:vAlign w:val="top"/>
          </w:tcPr>
          <w:p>
            <w:pPr>
              <w:pStyle w:val="Compact"/>
              <w:keepLines/>
              <w:widowControl/>
              <w:spacing w:before="0" w:after="40" w:line="240" w:lineRule="auto"/>
              <w:jc w:val="center"/>
            </w:pPr>
            <w:r>
              <w:rPr>
                <w:sz w:val="20"/>
                <w:szCs w:val="20"/>
              </w:rPr>
              <w:t xml:space="preserve">Një madhësi fikse e popullatës, si</w:t>
            </w:r>
            <w:r>
              <w:rPr>
                <w:sz w:val="20"/>
                <w:szCs w:val="20"/>
              </w:rPr>
              <w:t xml:space="preserve"> </w:t>
            </w:r>
            <ns5:oMath>
              <ns5:r>
                <ns5:t>μ</ns5:t>
              </ns5:r>
            </ns5:oMath>
            <w:r>
              <w:rPr>
                <w:sz w:val="20"/>
                <w:szCs w:val="20"/>
              </w:rPr>
              <w:t xml:space="preserve"> </w:t>
            </w:r>
            <w:r>
              <w:rPr>
                <w:sz w:val="20"/>
                <w:szCs w:val="20"/>
              </w:rPr>
              <w:t xml:space="preserve">ose</w:t>
            </w:r>
            <w:r>
              <w:rPr>
                <w:sz w:val="20"/>
                <w:szCs w:val="20"/>
              </w:rPr>
              <w:t xml:space="preserve"> </w:t>
            </w:r>
            <ns5:oMath>
              <ns5:r>
                <ns5:t>π</ns5:t>
              </ns5:r>
            </ns5:oMath>
            <w:r>
              <w:rPr>
                <w:sz w:val="20"/>
                <w:szCs w:val="20"/>
              </w:rPr>
              <w:t xml:space="preserve">, që zakonisht nuk dihet</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Statistika</w:t>
            </w:r>
          </w:p>
        </w:tc>
        <w:tc>
          <w:tcPr>
            <w:tcW w:w="5524" w:type="dxa"/>
            <w:shd w:fill="F3F7F9"/>
            <w:vAlign w:val="top"/>
          </w:tcPr>
          <w:p>
            <w:pPr>
              <w:pStyle w:val="Compact"/>
              <w:keepLines/>
              <w:widowControl/>
              <w:spacing w:before="0" w:after="40" w:line="240" w:lineRule="auto"/>
              <w:jc w:val="center"/>
            </w:pPr>
            <w:r>
              <w:rPr>
                <w:sz w:val="20"/>
                <w:szCs w:val="20"/>
              </w:rPr>
              <w:t xml:space="preserve">Një madhësi e llogaritur nga kampioni, si</w:t>
            </w:r>
            <w:r>
              <w:rPr>
                <w:sz w:val="20"/>
                <w:szCs w:val="20"/>
              </w:rPr>
              <w:t xml:space="preserve"> </w:t>
            </w:r>
            <ns5:oMath>
              <ns5:acc>
                <ns5:accPr>
                  <ns5:chr ns5:val="‾"/>
                </ns5:accPr>
                <ns5:e>
                  <ns5:r>
                    <ns5:t>x</ns5:t>
                  </ns5:r>
                </ns5:e>
              </ns5:acc>
            </ns5:oMath>
            <w:r>
              <w:rPr>
                <w:sz w:val="20"/>
                <w:szCs w:val="20"/>
              </w:rPr>
              <w:t xml:space="preserve"> </w:t>
            </w:r>
            <w:r>
              <w:rPr>
                <w:sz w:val="20"/>
                <w:szCs w:val="20"/>
              </w:rPr>
              <w:t xml:space="preserve">ose</w:t>
            </w:r>
            <w:r>
              <w:rPr>
                <w:sz w:val="20"/>
                <w:szCs w:val="20"/>
              </w:rPr>
              <w:t xml:space="preserve"> </w:t>
            </w:r>
            <ns5:oMath>
              <ns5:acc>
                <ns5:accPr>
                  <ns5:chr ns5:val="̂"/>
                </ns5:accPr>
                <ns5:e>
                  <ns5:r>
                    <ns5:t>p</ns5:t>
                  </ns5:r>
                </ns5:e>
              </ns5:acc>
            </ns5:oMath>
            <w:r>
              <w:rPr>
                <w:sz w:val="20"/>
                <w:szCs w:val="20"/>
              </w:rPr>
              <w:t xml:space="preserve">, që ndryshon mes kampioneve</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Anshmëria e përzgjedhjes</w:t>
            </w:r>
          </w:p>
        </w:tc>
        <w:tc>
          <w:tcPr>
            <w:tcW w:w="5524" w:type="dxa"/>
            <w:shd w:fill="FFFFFF"/>
            <w:vAlign w:val="top"/>
          </w:tcPr>
          <w:p>
            <w:pPr>
              <w:pStyle w:val="Compact"/>
              <w:keepLines/>
              <w:widowControl/>
              <w:spacing w:before="0" w:after="40" w:line="240" w:lineRule="auto"/>
              <w:jc w:val="center"/>
            </w:pPr>
            <w:r>
              <w:rPr>
                <w:sz w:val="20"/>
                <w:szCs w:val="20"/>
              </w:rPr>
              <w:t xml:space="preserve">Gabim sistematik kur përfshirja ose përgjigjja lidhet me madhësinë që vlerësohet</w:t>
            </w:r>
          </w:p>
        </w:tc>
      </w:tr>
    </w:tbl>
    <w:bookmarkEnd w:id="26"/>
    <w:p/>
    <w:p>
      <w:pPr>
        <w:pBdr>
          <w:bottom w:val="single" w:sz="4" w:space="6" w:color="B8C6CF"/>
        </w:pBdr>
        <w:spacing w:before="60" w:after="100"/>
      </w:pPr>
    </w:p>
    <w:bookmarkEnd w:id="27"/>
    <w:bookmarkStart w:id="29" w:name="rregullat-e-probabilitetit"/>
    <w:p>
      <w:pPr>
        <w:pStyle w:val="Heading2"/>
      </w:pPr>
      <w:r>
        <w:t xml:space="preserve">Rregullat e probabilitetit</w:t>
      </w:r>
    </w:p>
    <w:bookmarkStart w:id="28" w:name="tbl-summary-probability-rules"/>
    <w:p>
      <w:pPr>
        <w:pStyle w:val="TableCaption"/>
        <w:keepNext/>
        <w:keepLines/>
        <w:widowControl/>
        <w:spacing w:before="120" w:after="80"/>
        <w:jc w:val="left"/>
      </w:pPr>
      <w:r>
        <w:t xml:space="preserve">Tabela 3: Rregullat e probabilitetit dhe përdorimet e tyre.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048"/>
        <w:gridCol w:w="3524"/>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Rregulli</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Formula</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Kur të përdoret</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Komplement</w:t>
            </w:r>
          </w:p>
        </w:tc>
        <w:tc>
          <w:tcPr>
            <w:tcW w:w="3048"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e>
              </ns5:d>
              <ns5:r>
                <ns5:rPr>
                  <ns5:sty ns5:val="p"/>
                </ns5:rPr>
                <ns5:t>=</ns5:t>
              </ns5:r>
              <ns5:r>
                <ns5:t>1</ns5:t>
              </ns5:r>
              <ns5:r>
                <ns5:rPr>
                  <ns5:sty ns5:val="p"/>
                </ns5:rPr>
                <ns5:t>−</ns5:t>
              </ns5:r>
              <ns5:r>
                <ns5:t>P</ns5:t>
              </ns5:r>
              <ns5:d>
                <ns5:dPr>
                  <ns5:begChr ns5:val="("/>
                  <ns5:sepChr ns5:val=""/>
                  <ns5:endChr ns5:val=")"/>
                  <ns5:grow/>
                </ns5:dPr>
                <ns5:e>
                  <ns5:r>
                    <ns5:t>A</ns5:t>
                  </ns5:r>
                </ns5:e>
              </ns5:d>
            </ns5:oMath>
          </w:p>
        </w:tc>
        <w:tc>
          <w:tcPr>
            <w:tcW w:w="3524" w:type="dxa"/>
            <w:shd w:fill="F3F7F9"/>
            <w:vAlign w:val="top"/>
          </w:tcPr>
          <w:p>
            <w:pPr>
              <w:pStyle w:val="Compact"/>
              <w:keepLines/>
              <w:widowControl/>
              <w:spacing w:before="0" w:after="40" w:line="240" w:lineRule="auto"/>
              <w:jc w:val="center"/>
            </w:pPr>
            <w:r>
              <w:rPr>
                <w:sz w:val="20"/>
                <w:szCs w:val="20"/>
              </w:rPr>
              <w:t xml:space="preserve">Llogaritja e probabilitetit të ngjarjes së kundërt</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Mbledhja (ngjarje të ndara)</w:t>
            </w:r>
          </w:p>
        </w:tc>
        <w:tc>
          <w:tcPr>
            <w:tcW w:w="3048"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B</ns5:t>
                  </ns5:r>
                </ns5:e>
              </ns5:d>
            </ns5:oMath>
          </w:p>
        </w:tc>
        <w:tc>
          <w:tcPr>
            <w:tcW w:w="3524" w:type="dxa"/>
            <w:shd w:fill="FFFFFF"/>
            <w:vAlign w:val="top"/>
          </w:tcPr>
          <w:p>
            <w:pPr>
              <w:pStyle w:val="Compact"/>
              <w:keepLines/>
              <w:widowControl/>
              <w:spacing w:before="0" w:after="40" w:line="240" w:lineRule="auto"/>
              <w:jc w:val="center"/>
            </w:pPr>
            <w:r>
              <w:rPr>
                <w:sz w:val="20"/>
                <w:szCs w:val="20"/>
              </w:rPr>
              <w:t xml:space="preserve">Ngjarjet nuk mund të ndodhin bashkë</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Mbledhja (e përgjithshme)</w:t>
            </w:r>
          </w:p>
        </w:tc>
        <w:tc>
          <w:tcPr>
            <w:tcW w:w="3048"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B</ns5:t>
                  </ns5:r>
                </ns5:e>
              </ns5:d>
              <ns5:r>
                <ns5:rPr>
                  <ns5:sty ns5:val="p"/>
                </ns5:rPr>
                <ns5:t>−</ns5:t>
              </ns5:r>
              <ns5:r>
                <ns5:t>P</ns5:t>
              </ns5:r>
              <ns5:d>
                <ns5:dPr>
                  <ns5:begChr ns5:val="("/>
                  <ns5:sepChr ns5:val=""/>
                  <ns5:endChr ns5:val=")"/>
                  <ns5:grow/>
                </ns5:dPr>
                <ns5:e>
                  <ns5:r>
                    <ns5:t>A</ns5:t>
                  </ns5:r>
                  <ns5:r>
                    <ns5:rPr>
                      <ns5:sty ns5:val="p"/>
                    </ns5:rPr>
                    <ns5:t>∩</ns5:t>
                  </ns5:r>
                  <ns5:r>
                    <ns5:t>B</ns5:t>
                  </ns5:r>
                </ns5:e>
              </ns5:d>
            </ns5:oMath>
          </w:p>
        </w:tc>
        <w:tc>
          <w:tcPr>
            <w:tcW w:w="3524" w:type="dxa"/>
            <w:shd w:fill="F3F7F9"/>
            <w:vAlign w:val="top"/>
          </w:tcPr>
          <w:p>
            <w:pPr>
              <w:pStyle w:val="Compact"/>
              <w:keepLines/>
              <w:widowControl/>
              <w:spacing w:before="0" w:after="40" w:line="240" w:lineRule="auto"/>
              <w:jc w:val="center"/>
            </w:pPr>
            <w:r>
              <w:rPr>
                <w:sz w:val="20"/>
                <w:szCs w:val="20"/>
              </w:rPr>
              <w:t xml:space="preserve">Ngjarjet mund të ndodhin bashkë</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Shumë ngjarje të ndara</w:t>
            </w:r>
          </w:p>
        </w:tc>
        <w:tc>
          <w:tcPr>
            <w:tcW w:w="3048"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sSub>
                    <ns5:e>
                      <ns5:r>
                        <ns5:t>A</ns5:t>
                      </ns5:r>
                    </ns5:e>
                    <ns5:sub>
                      <ns5:r>
                        <ns5:t>1</ns5:t>
                      </ns5:r>
                    </ns5:sub>
                  </ns5:sSub>
                  <ns5:r>
                    <ns5:rPr>
                      <ns5:sty ns5:val="p"/>
                    </ns5:rPr>
                    <ns5:t>∪</ns5:t>
                  </ns5:r>
                  <ns5:r>
                    <ns5:rPr>
                      <ns5:sty ns5:val="p"/>
                    </ns5:rPr>
                    <ns5:t>⋯</ns5:t>
                  </ns5:r>
                  <ns5:r>
                    <ns5:rPr>
                      <ns5:sty ns5:val="p"/>
                    </ns5:rPr>
                    <ns5:t>∪</ns5:t>
                  </ns5:r>
                  <ns5:sSub>
                    <ns5:e>
                      <ns5:r>
                        <ns5:t>A</ns5:t>
                      </ns5:r>
                    </ns5:e>
                    <ns5:sub>
                      <ns5:r>
                        <ns5:t>k</ns5:t>
                      </ns5:r>
                    </ns5:sub>
                  </ns5:sSub>
                </ns5:e>
              </ns5:d>
              <ns5:r>
                <ns5:rPr>
                  <ns5:sty ns5:val="p"/>
                </ns5:rPr>
                <ns5:t>=</ns5:t>
              </ns5:r>
              <ns5:r>
                <ns5:rPr>
                  <ns5:sty ns5:val="p"/>
                </ns5:rPr>
                <ns5:t>∑</ns5:t>
              </ns5:r>
              <ns5:r>
                <ns5:t>P</ns5:t>
              </ns5:r>
              <ns5:d>
                <ns5:dPr>
                  <ns5:begChr ns5:val="("/>
                  <ns5:sepChr ns5:val=""/>
                  <ns5:endChr ns5:val=")"/>
                  <ns5:grow/>
                </ns5:dPr>
                <ns5:e>
                  <ns5:sSub>
                    <ns5:e>
                      <ns5:r>
                        <ns5:t>A</ns5:t>
                      </ns5:r>
                    </ns5:e>
                    <ns5:sub>
                      <ns5:r>
                        <ns5:t>i</ns5:t>
                      </ns5:r>
                    </ns5:sub>
                  </ns5:sSub>
                </ns5:e>
              </ns5:d>
            </ns5:oMath>
          </w:p>
        </w:tc>
        <w:tc>
          <w:tcPr>
            <w:tcW w:w="3524" w:type="dxa"/>
            <w:shd w:fill="FFFFFF"/>
            <w:vAlign w:val="top"/>
          </w:tcPr>
          <w:p>
            <w:pPr>
              <w:pStyle w:val="Compact"/>
              <w:keepLines/>
              <w:widowControl/>
              <w:spacing w:before="0" w:after="40" w:line="240" w:lineRule="auto"/>
              <w:jc w:val="center"/>
            </w:pPr>
            <w:r>
              <w:rPr>
                <w:sz w:val="20"/>
                <w:szCs w:val="20"/>
              </w:rPr>
              <w:t xml:space="preserve">Të gjitha çiftet e ngjarjeve janë të ndara</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Probabiliteti i kushtëzuar</w:t>
            </w:r>
          </w:p>
        </w:tc>
        <w:tc>
          <w:tcPr>
            <w:tcW w:w="3048"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B</ns5:t>
                  </ns5:r>
                </ns5:e>
              </ns5:d>
            </ns5:oMath>
          </w:p>
        </w:tc>
        <w:tc>
          <w:tcPr>
            <w:tcW w:w="3524" w:type="dxa"/>
            <w:shd w:fill="F3F7F9"/>
            <w:vAlign w:val="top"/>
          </w:tcPr>
          <w:p>
            <w:pPr>
              <w:pStyle w:val="Compact"/>
              <w:keepLines/>
              <w:widowControl/>
              <w:spacing w:before="0" w:after="40" w:line="240" w:lineRule="auto"/>
              <w:jc w:val="center"/>
            </w:pPr>
            <w:r>
              <w:rPr>
                <w:sz w:val="20"/>
                <w:szCs w:val="20"/>
              </w:rPr>
              <w:t xml:space="preserve">Probabiliteti i</w:t>
            </w:r>
            <w:r>
              <w:rPr>
                <w:sz w:val="20"/>
                <w:szCs w:val="20"/>
              </w:rPr>
              <w:t xml:space="preserve"> </w:t>
            </w:r>
            <ns5:oMath>
              <ns5:r>
                <ns5:t>A</ns5:t>
              </ns5:r>
            </ns5:oMath>
            <w:r>
              <w:rPr>
                <w:sz w:val="20"/>
                <w:szCs w:val="20"/>
              </w:rPr>
              <w:t xml:space="preserve"> </w:t>
            </w:r>
            <w:r>
              <w:rPr>
                <w:sz w:val="20"/>
                <w:szCs w:val="20"/>
              </w:rPr>
              <w:t xml:space="preserve">kur</w:t>
            </w:r>
            <w:r>
              <w:rPr>
                <w:sz w:val="20"/>
                <w:szCs w:val="20"/>
              </w:rPr>
              <w:t xml:space="preserve"> </w:t>
            </w:r>
            <ns5:oMath>
              <ns5:r>
                <ns5:t>B</ns5:t>
              </ns5:r>
            </ns5:oMath>
            <w:r>
              <w:rPr>
                <w:sz w:val="20"/>
                <w:szCs w:val="20"/>
              </w:rPr>
              <w:t xml:space="preserve"> </w:t>
            </w:r>
            <w:r>
              <w:rPr>
                <w:sz w:val="20"/>
                <w:szCs w:val="20"/>
              </w:rPr>
              <w:t xml:space="preserve">ka ndodhur</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Shumëzimi (i përgjithshëm)</w:t>
            </w:r>
          </w:p>
        </w:tc>
        <w:tc>
          <w:tcPr>
            <w:tcW w:w="3048"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B</ns5:t>
                  </ns5:r>
                </ns5:e>
              </ns5:d>
            </ns5:oMath>
          </w:p>
        </w:tc>
        <w:tc>
          <w:tcPr>
            <w:tcW w:w="3524" w:type="dxa"/>
            <w:shd w:fill="FFFFFF"/>
            <w:vAlign w:val="top"/>
          </w:tcPr>
          <w:p>
            <w:pPr>
              <w:pStyle w:val="Compact"/>
              <w:keepLines/>
              <w:widowControl/>
              <w:spacing w:before="0" w:after="40" w:line="240" w:lineRule="auto"/>
              <w:jc w:val="center"/>
            </w:pPr>
            <w:r>
              <w:rPr>
                <w:sz w:val="20"/>
                <w:szCs w:val="20"/>
              </w:rPr>
              <w:t xml:space="preserve">Gjetja e probabilitetit të përbashkët</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Shumëzimi (i pavarur)</w:t>
            </w:r>
          </w:p>
        </w:tc>
        <w:tc>
          <w:tcPr>
            <w:tcW w:w="3048"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B</ns5:t>
                  </ns5:r>
                </ns5:e>
              </ns5:d>
            </ns5:oMath>
          </w:p>
        </w:tc>
        <w:tc>
          <w:tcPr>
            <w:tcW w:w="3524" w:type="dxa"/>
            <w:shd w:fill="F3F7F9"/>
            <w:vAlign w:val="top"/>
          </w:tcPr>
          <w:p>
            <w:pPr>
              <w:pStyle w:val="Compact"/>
              <w:keepLines/>
              <w:widowControl/>
              <w:spacing w:before="0" w:after="40" w:line="240" w:lineRule="auto"/>
              <w:jc w:val="center"/>
            </w:pPr>
            <w:r>
              <w:rPr>
                <w:sz w:val="20"/>
                <w:szCs w:val="20"/>
              </w:rPr>
              <w:t xml:space="preserve">Kur ngjarjet konfirmohen të pavarura</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Teorema e Bayes</w:t>
            </w:r>
          </w:p>
        </w:tc>
        <w:tc>
          <w:tcPr>
            <w:tcW w:w="3048"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f>
                <ns5:fPr>
                  <ns5:type ns5:val="bar"/>
                </ns5:fPr>
                <ns5:num>
                  <ns5:r>
                    <ns5:t>P</ns5:t>
                  </ns5:r>
                  <ns5:d>
                    <ns5:dPr>
                      <ns5:begChr ns5:val="("/>
                      <ns5:sepChr ns5:val=""/>
                      <ns5:endChr ns5:val=")"/>
                      <ns5:grow/>
                    </ns5:dPr>
                    <ns5:e>
                      <ns5:r>
                        <ns5:t>B</ns5:t>
                      </ns5:r>
                      <ns5:r>
                        <ns5:rPr>
                          <ns5:sty ns5:val="p"/>
                        </ns5:rPr>
                        <ns5:t>∣</ns5:t>
                      </ns5:r>
                      <ns5:r>
                        <ns5:t>A</ns5:t>
                      </ns5:r>
                    </ns5:e>
                  </ns5:d>
                  <ns5:r>
                    <ns5:rPr>
                      <ns5:sty ns5:val="p"/>
                    </ns5:rPr>
                    <ns5:t>⋅</ns5:t>
                  </ns5:r>
                  <ns5:r>
                    <ns5:t>P</ns5:t>
                  </ns5:r>
                  <ns5:d>
                    <ns5:dPr>
                      <ns5:begChr ns5:val="("/>
                      <ns5:sepChr ns5:val=""/>
                      <ns5:endChr ns5:val=")"/>
                      <ns5:grow/>
                    </ns5:dPr>
                    <ns5:e>
                      <ns5:r>
                        <ns5:t>A</ns5:t>
                      </ns5:r>
                    </ns5:e>
                  </ns5:d>
                </ns5:num>
                <ns5:den>
                  <ns5:r>
                    <ns5:t>P</ns5:t>
                  </ns5:r>
                  <ns5:d>
                    <ns5:dPr>
                      <ns5:begChr ns5:val="("/>
                      <ns5:sepChr ns5:val=""/>
                      <ns5:endChr ns5:val=")"/>
                      <ns5:grow/>
                    </ns5:dPr>
                    <ns5:e>
                      <ns5:r>
                        <ns5:t>B</ns5:t>
                      </ns5:r>
                      <ns5:r>
                        <ns5:rPr>
                          <ns5:sty ns5:val="p"/>
                        </ns5:rPr>
                        <ns5:t>∣</ns5:t>
                      </ns5:r>
                      <ns5:r>
                        <ns5:t>A</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B</ns5:t>
                      </ns5:r>
                      <ns5:r>
                        <ns5:rPr>
                          <ns5:sty ns5:val="p"/>
                        </ns5:rPr>
                        <ns5:t>∣</ns5:t>
                      </ns5:r>
                      <ns5:r>
                        <ns5:t>A</ns5:t>
                      </ns5:r>
                      <ns5:r>
                        <ns5:rPr>
                          <ns5:sty ns5:val="p"/>
                        </ns5:rPr>
                        <ns5:t>′</ns5:t>
                      </ns5:r>
                    </ns5:e>
                  </ns5:d>
                  <ns5:r>
                    <ns5:rPr>
                      <ns5:sty ns5:val="p"/>
                    </ns5:rPr>
                    <ns5:t>⋅</ns5:t>
                  </ns5:r>
                  <ns5:r>
                    <ns5:t>P</ns5:t>
                  </ns5:r>
                  <ns5:d>
                    <ns5:dPr>
                      <ns5:begChr ns5:val="("/>
                      <ns5:sepChr ns5:val=""/>
                      <ns5:endChr ns5:val=")"/>
                      <ns5:grow/>
                    </ns5:dPr>
                    <ns5:e>
                      <ns5:r>
                        <ns5:t>A</ns5:t>
                      </ns5:r>
                      <ns5:r>
                        <ns5:rPr>
                          <ns5:sty ns5:val="p"/>
                        </ns5:rPr>
                        <ns5:t>′</ns5:t>
                      </ns5:r>
                    </ns5:e>
                  </ns5:d>
                </ns5:den>
              </ns5:f>
            </ns5:oMath>
          </w:p>
        </w:tc>
        <w:tc>
          <w:tcPr>
            <w:tcW w:w="3524" w:type="dxa"/>
            <w:shd w:fill="FFFFFF"/>
            <w:vAlign w:val="top"/>
          </w:tcPr>
          <w:p>
            <w:pPr>
              <w:pStyle w:val="Compact"/>
              <w:keepLines/>
              <w:widowControl/>
              <w:spacing w:before="0" w:after="40" w:line="240" w:lineRule="auto"/>
              <w:jc w:val="center"/>
            </w:pPr>
            <w:r>
              <w:rPr>
                <w:sz w:val="20"/>
                <w:szCs w:val="20"/>
              </w:rPr>
              <w:t xml:space="preserve">Përditësimi i probabilitetit me prova të reja</w:t>
            </w:r>
          </w:p>
        </w:tc>
      </w:tr>
    </w:tbl>
    <w:bookmarkEnd w:id="28"/>
    <w:p/>
    <w:p>
      <w:pPr>
        <w:pBdr>
          <w:bottom w:val="single" w:sz="4" w:space="6" w:color="B8C6CF"/>
        </w:pBdr>
        <w:spacing w:before="60" w:after="100"/>
      </w:pPr>
    </w:p>
    <w:bookmarkEnd w:id="29"/>
    <w:bookmarkStart w:id="31" w:name="Xa2c21dc6d627af6753fa7960ea4454284dfa746"/>
    <w:p>
      <w:pPr>
        <w:pStyle w:val="Heading2"/>
      </w:pPr>
      <w:r>
        <w:t xml:space="preserve">Ndryshoret dhe shpërndarjet e rastësishme</w:t>
      </w:r>
    </w:p>
    <w:bookmarkStart w:id="30" w:name="tbl-summary-distribution-objects"/>
    <w:p>
      <w:pPr>
        <w:pStyle w:val="TableCaption"/>
        <w:keepNext/>
        <w:keepLines/>
        <w:widowControl/>
        <w:spacing w:before="120" w:after="80"/>
        <w:jc w:val="left"/>
      </w:pPr>
      <w:r>
        <w:t xml:space="preserve">Tabela 4: Objektet e shpërndarjeve diskrete dhe të vazhdueshme.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3714"/>
        <w:gridCol w:w="3334"/>
      </w:tblGrid>
      <w:tr>
        <w:trPr>
          <w:cantSplit/>
          <w:tblHeader w:val="on"/>
        </w:trPr>
        <w:tc>
          <w:tcPr>
            <w:tcW w:w="2476" w:type="dxa"/>
            <w:shd w:fill="EAF2F6"/>
            <w:vAlign w:val="center"/>
          </w:tcPr>
          <w:p>
            <w:pPr>
              <w:pStyle w:val="Compact"/>
              <w:keepLines/>
              <w:widowControl/>
              <w:spacing w:before="0" w:after="40" w:line="240" w:lineRule="auto"/>
              <w:jc w:val="left"/>
            </w:pPr>
          </w:p>
        </w:tc>
        <w:tc>
          <w:tcPr>
            <w:tcW w:w="3714" w:type="dxa"/>
            <w:shd w:fill="EAF2F6"/>
            <w:vAlign w:val="center"/>
          </w:tcPr>
          <w:p>
            <w:pPr>
              <w:pStyle w:val="Compact"/>
              <w:keepLines/>
              <w:widowControl/>
              <w:spacing w:before="0" w:after="40" w:line="240" w:lineRule="auto"/>
              <w:jc w:val="left"/>
            </w:pPr>
            <w:r>
              <w:rPr>
                <w:b/>
                <w:color w:val="183B56"/>
                <w:sz w:val="20"/>
                <w:szCs w:val="20"/>
              </w:rPr>
              <w:t xml:space="preserve">Diskrete</w:t>
            </w:r>
          </w:p>
        </w:tc>
        <w:tc>
          <w:tcPr>
            <w:tcW w:w="3334" w:type="dxa"/>
            <w:shd w:fill="EAF2F6"/>
            <w:vAlign w:val="center"/>
          </w:tcPr>
          <w:p>
            <w:pPr>
              <w:pStyle w:val="Compact"/>
              <w:keepLines/>
              <w:widowControl/>
              <w:spacing w:before="0" w:after="40" w:line="240" w:lineRule="auto"/>
              <w:jc w:val="left"/>
            </w:pPr>
            <w:r>
              <w:rPr>
                <w:b/>
                <w:color w:val="183B56"/>
                <w:sz w:val="20"/>
                <w:szCs w:val="20"/>
              </w:rPr>
              <w:t xml:space="preserve">E vazhdueshme</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Vlerat</w:t>
            </w:r>
          </w:p>
        </w:tc>
        <w:tc>
          <w:tcPr>
            <w:tcW w:w="3714" w:type="dxa"/>
            <w:shd w:fill="F3F7F9"/>
            <w:vAlign w:val="top"/>
          </w:tcPr>
          <w:p>
            <w:pPr>
              <w:pStyle w:val="Compact"/>
              <w:keepLines/>
              <w:widowControl/>
              <w:spacing w:before="0" w:after="40" w:line="240" w:lineRule="auto"/>
              <w:jc w:val="center"/>
            </w:pPr>
            <w:r>
              <w:rPr>
                <w:sz w:val="20"/>
                <w:szCs w:val="20"/>
              </w:rPr>
              <w:t xml:space="preserve">Të numërueshme (0, 1, 2, …)</w:t>
            </w:r>
          </w:p>
        </w:tc>
        <w:tc>
          <w:tcPr>
            <w:tcW w:w="3334" w:type="dxa"/>
            <w:shd w:fill="F3F7F9"/>
            <w:vAlign w:val="top"/>
          </w:tcPr>
          <w:p>
            <w:pPr>
              <w:pStyle w:val="Compact"/>
              <w:keepLines/>
              <w:widowControl/>
              <w:spacing w:before="0" w:after="40" w:line="240" w:lineRule="auto"/>
              <w:jc w:val="center"/>
            </w:pPr>
            <w:r>
              <w:rPr>
                <w:sz w:val="20"/>
                <w:szCs w:val="20"/>
              </w:rPr>
              <w:t xml:space="preserve">Çdo vlerë në një interval</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Përshkruhet nga</w:t>
            </w:r>
          </w:p>
        </w:tc>
        <w:tc>
          <w:tcPr>
            <w:tcW w:w="3714" w:type="dxa"/>
            <w:shd w:fill="FFFFFF"/>
            <w:vAlign w:val="top"/>
          </w:tcPr>
          <w:p>
            <w:pPr>
              <w:pStyle w:val="Compact"/>
              <w:keepLines/>
              <w:widowControl/>
              <w:spacing w:before="0" w:after="40" w:line="240" w:lineRule="auto"/>
              <w:jc w:val="center"/>
            </w:pPr>
            <w:r>
              <w:rPr>
                <w:sz w:val="20"/>
                <w:szCs w:val="20"/>
              </w:rPr>
              <w:t xml:space="preserve">Funksioni i probabilitetit</w:t>
            </w:r>
            <w:r>
              <w:rPr>
                <w:sz w:val="20"/>
                <w:szCs w:val="20"/>
              </w:rPr>
              <w:t xml:space="preserve"> </w:t>
            </w:r>
            <ns5:oMath>
              <ns5:r>
                <ns5:t>P</ns5:t>
              </ns5:r>
              <ns5:d>
                <ns5:dPr>
                  <ns5:begChr ns5:val="("/>
                  <ns5:sepChr ns5:val=""/>
                  <ns5:endChr ns5:val=")"/>
                  <ns5:grow/>
                </ns5:dPr>
                <ns5:e>
                  <ns5:r>
                    <ns5:t>X</ns5:t>
                  </ns5:r>
                  <ns5:r>
                    <ns5:rPr>
                      <ns5:sty ns5:val="p"/>
                    </ns5:rPr>
                    <ns5:t>=</ns5:t>
                  </ns5:r>
                  <ns5:r>
                    <ns5:t>x</ns5:t>
                  </ns5:r>
                </ns5:e>
              </ns5:d>
            </ns5:oMath>
          </w:p>
        </w:tc>
        <w:tc>
          <w:tcPr>
            <w:tcW w:w="3334" w:type="dxa"/>
            <w:shd w:fill="FFFFFF"/>
            <w:vAlign w:val="top"/>
          </w:tcPr>
          <w:p>
            <w:pPr>
              <w:pStyle w:val="Compact"/>
              <w:keepLines/>
              <w:widowControl/>
              <w:spacing w:before="0" w:after="40" w:line="240" w:lineRule="auto"/>
              <w:jc w:val="center"/>
            </w:pPr>
            <w:r>
              <w:rPr>
                <w:sz w:val="20"/>
                <w:szCs w:val="20"/>
              </w:rPr>
              <w:t xml:space="preserve">Funksioni i dendësisë</w:t>
            </w:r>
            <w:r>
              <w:rPr>
                <w:sz w:val="20"/>
                <w:szCs w:val="20"/>
              </w:rPr>
              <w:t xml:space="preserve"> </w:t>
            </w:r>
            <ns5:oMath>
              <ns5:r>
                <ns5:t>f</ns5:t>
              </ns5:r>
              <ns5:d>
                <ns5:dPr>
                  <ns5:begChr ns5:val="("/>
                  <ns5:sepChr ns5:val=""/>
                  <ns5:endChr ns5:val=")"/>
                  <ns5:grow/>
                </ns5:dPr>
                <ns5:e>
                  <ns5:r>
                    <ns5:t>x</ns5:t>
                  </ns5:r>
                </ns5:e>
              </ns5:d>
            </ns5:oMath>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Vlera e pritur</w:t>
            </w:r>
          </w:p>
        </w:tc>
        <w:tc>
          <w:tcPr>
            <w:tcW w:w="3714" w:type="dxa"/>
            <w:shd w:fill="F3F7F9"/>
            <w:vAlign w:val="top"/>
          </w:tcPr>
          <w:p>
            <w:pPr>
              <w:pStyle w:val="Compact"/>
              <w:keepLines/>
              <w:widowControl/>
              <w:spacing w:before="0" w:after="40" w:line="240" w:lineRule="auto"/>
              <w:jc w:val="center"/>
            </w:pPr>
            <ns5:oMath>
              <ns5:r>
                <ns5:t>E</ns5:t>
              </ns5:r>
              <ns5:d>
                <ns5:dPr>
                  <ns5:begChr ns5:val="("/>
                  <ns5:sepChr ns5:val=""/>
                  <ns5:endChr ns5:val=")"/>
                  <ns5:grow/>
                </ns5:dPr>
                <ns5:e>
                  <ns5:r>
                    <ns5:t>X</ns5:t>
                  </ns5:r>
                </ns5:e>
              </ns5:d>
              <ns5:r>
                <ns5:rPr>
                  <ns5:sty ns5:val="p"/>
                </ns5:rPr>
                <ns5:t>=</ns5:t>
              </ns5:r>
              <ns5:r>
                <ns5:rPr>
                  <ns5:sty ns5:val="p"/>
                </ns5:rPr>
                <ns5:t>∑</ns5:t>
              </ns5:r>
              <ns5:r>
                <ns5:t>x</ns5:t>
              </ns5:r>
              <ns5:r>
                <ns5:rPr>
                  <ns5:sty ns5:val="p"/>
                </ns5:rPr>
                <ns5:t>⋅</ns5:t>
              </ns5:r>
              <ns5:r>
                <ns5:t>P</ns5:t>
              </ns5:r>
              <ns5:d>
                <ns5:dPr>
                  <ns5:begChr ns5:val="("/>
                  <ns5:sepChr ns5:val=""/>
                  <ns5:endChr ns5:val=")"/>
                  <ns5:grow/>
                </ns5:dPr>
                <ns5:e>
                  <ns5:r>
                    <ns5:t>X</ns5:t>
                  </ns5:r>
                  <ns5:r>
                    <ns5:rPr>
                      <ns5:sty ns5:val="p"/>
                    </ns5:rPr>
                    <ns5:t>=</ns5:t>
                  </ns5:r>
                  <ns5:r>
                    <ns5:t>x</ns5:t>
                  </ns5:r>
                </ns5:e>
              </ns5:d>
            </ns5:oMath>
          </w:p>
        </w:tc>
        <w:tc>
          <w:tcPr>
            <w:tcW w:w="3334" w:type="dxa"/>
            <w:shd w:fill="F3F7F9"/>
            <w:vAlign w:val="top"/>
          </w:tcPr>
          <w:p>
            <w:pPr>
              <w:pStyle w:val="Compact"/>
              <w:keepLines/>
              <w:widowControl/>
              <w:spacing w:before="0" w:after="40" w:line="240" w:lineRule="auto"/>
              <w:jc w:val="center"/>
            </w:pPr>
            <ns5:oMath>
              <ns5:r>
                <ns5:t>E</ns5:t>
              </ns5:r>
              <ns5:d>
                <ns5:dPr>
                  <ns5:begChr ns5:val="("/>
                  <ns5:sepChr ns5:val=""/>
                  <ns5:endChr ns5:val=")"/>
                  <ns5:grow/>
                </ns5:dPr>
                <ns5:e>
                  <ns5:r>
                    <ns5:t>X</ns5:t>
                  </ns5:r>
                </ns5:e>
              </ns5:d>
              <ns5:r>
                <ns5:rPr>
                  <ns5:sty ns5:val="p"/>
                </ns5:rPr>
                <ns5:t>=</ns5:t>
              </ns5:r>
              <ns5:r>
                <ns5:t>μ</ns5:t>
              </ns5:r>
            </ns5:oMath>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Varianca</w:t>
            </w:r>
          </w:p>
        </w:tc>
        <w:tc>
          <w:tcPr>
            <w:tcW w:w="3714" w:type="dxa"/>
            <w:shd w:fill="FFFFFF"/>
            <w:vAlign w:val="top"/>
          </w:tcPr>
          <w:p>
            <w:pPr>
              <w:pStyle w:val="Compact"/>
              <w:keepLines/>
              <w:widowControl/>
              <w:spacing w:before="0" w:after="40" w:line="240" w:lineRule="auto"/>
              <w:jc w:val="center"/>
            </w:pPr>
            <ns5:oMath>
              <ns5:r>
                <ns5:rPr>
                  <ns5:nor/>
                  <ns5:sty ns5:val="p"/>
                </ns5:rPr>
                <ns5:t>Var</ns5:t>
              </ns5:r>
              <ns5:d>
                <ns5:dPr>
                  <ns5:begChr ns5:val="("/>
                  <ns5:sepChr ns5:val=""/>
                  <ns5:endChr ns5:val=")"/>
                  <ns5:grow/>
                </ns5:dPr>
                <ns5:e>
                  <ns5:r>
                    <ns5:t>X</ns5:t>
                  </ns5:r>
                </ns5:e>
              </ns5:d>
              <ns5:r>
                <ns5:rPr>
                  <ns5:sty ns5:val="p"/>
                </ns5:rPr>
                <ns5:t>=</ns5:t>
              </ns5:r>
              <ns5:r>
                <ns5:rPr>
                  <ns5:sty ns5:val="p"/>
                </ns5:rPr>
                <ns5:t>∑</ns5:t>
              </ns5:r>
              <ns5:sSup>
                <ns5:e>
                  <ns5:d>
                    <ns5:dPr>
                      <ns5:begChr ns5:val="("/>
                      <ns5:sepChr ns5:val=""/>
                      <ns5:endChr ns5:val=")"/>
                      <ns5:grow/>
                    </ns5:dPr>
                    <ns5:e>
                      <ns5:r>
                        <ns5:t>x</ns5:t>
                      </ns5:r>
                      <ns5:r>
                        <ns5:rPr>
                          <ns5:sty ns5:val="p"/>
                        </ns5:rPr>
                        <ns5:t>−</ns5:t>
                      </ns5:r>
                      <ns5:r>
                        <ns5:t>E</ns5:t>
                      </ns5:r>
                      <ns5:d>
                        <ns5:dPr>
                          <ns5:begChr ns5:val="("/>
                          <ns5:sepChr ns5:val=""/>
                          <ns5:endChr ns5:val=")"/>
                          <ns5:grow/>
                        </ns5:dPr>
                        <ns5:e>
                          <ns5:r>
                            <ns5:t>X</ns5:t>
                          </ns5:r>
                        </ns5:e>
                      </ns5:d>
                    </ns5:e>
                  </ns5:d>
                </ns5:e>
                <ns5:sup>
                  <ns5:r>
                    <ns5:t>2</ns5:t>
                  </ns5:r>
                </ns5:sup>
              </ns5:sSup>
              <ns5:r>
                <ns5:rPr>
                  <ns5:sty ns5:val="p"/>
                </ns5:rPr>
                <ns5:t>⋅</ns5:t>
              </ns5:r>
              <ns5:r>
                <ns5:t>P</ns5:t>
              </ns5:r>
              <ns5:d>
                <ns5:dPr>
                  <ns5:begChr ns5:val="("/>
                  <ns5:sepChr ns5:val=""/>
                  <ns5:endChr ns5:val=")"/>
                  <ns5:grow/>
                </ns5:dPr>
                <ns5:e>
                  <ns5:r>
                    <ns5:t>X</ns5:t>
                  </ns5:r>
                  <ns5:r>
                    <ns5:rPr>
                      <ns5:sty ns5:val="p"/>
                    </ns5:rPr>
                    <ns5:t>=</ns5:t>
                  </ns5:r>
                  <ns5:r>
                    <ns5:t>x</ns5:t>
                  </ns5:r>
                </ns5:e>
              </ns5:d>
            </ns5:oMath>
          </w:p>
        </w:tc>
        <w:tc>
          <w:tcPr>
            <w:tcW w:w="3334" w:type="dxa"/>
            <w:shd w:fill="FFFFFF"/>
            <w:vAlign w:val="top"/>
          </w:tcPr>
          <w:p>
            <w:pPr>
              <w:pStyle w:val="Compact"/>
              <w:keepLines/>
              <w:widowControl/>
              <w:spacing w:before="0" w:after="40" w:line="240" w:lineRule="auto"/>
              <w:jc w:val="center"/>
            </w:pPr>
            <ns5:oMath>
              <ns5:r>
                <ns5:rPr>
                  <ns5:nor/>
                  <ns5:sty ns5:val="p"/>
                </ns5:rPr>
                <ns5:t>Var</ns5:t>
              </ns5:r>
              <ns5:d>
                <ns5:dPr>
                  <ns5:begChr ns5:val="("/>
                  <ns5:sepChr ns5:val=""/>
                  <ns5:endChr ns5:val=")"/>
                  <ns5:grow/>
                </ns5:dPr>
                <ns5:e>
                  <ns5:r>
                    <ns5:t>X</ns5:t>
                  </ns5:r>
                </ns5:e>
              </ns5:d>
              <ns5:r>
                <ns5:rPr>
                  <ns5:sty ns5:val="p"/>
                </ns5:rPr>
                <ns5:t>=</ns5:t>
              </ns5:r>
              <ns5:sSup>
                <ns5:e>
                  <ns5:r>
                    <ns5:t>σ</ns5:t>
                  </ns5:r>
                </ns5:e>
                <ns5:sup>
                  <ns5:r>
                    <ns5:t>2</ns5:t>
                  </ns5:r>
                </ns5:sup>
              </ns5:sSup>
            </ns5:oMath>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CDF</w:t>
            </w:r>
          </w:p>
        </w:tc>
        <w:tc>
          <w:tcPr>
            <w:tcW w:w="3714" w:type="dxa"/>
            <w:shd w:fill="F3F7F9"/>
            <w:vAlign w:val="top"/>
          </w:tcPr>
          <w:p>
            <w:pPr>
              <w:pStyle w:val="Compact"/>
              <w:keepLines/>
              <w:widowControl/>
              <w:spacing w:before="0" w:after="40" w:line="240" w:lineRule="auto"/>
              <w:jc w:val="center"/>
            </w:pPr>
            <ns5:oMath>
              <ns5:r>
                <ns5:t>F</ns5:t>
              </ns5:r>
              <ns5:d>
                <ns5:dPr>
                  <ns5:begChr ns5:val="("/>
                  <ns5:sepChr ns5:val=""/>
                  <ns5:endChr ns5:val=")"/>
                  <ns5:grow/>
                </ns5:dPr>
                <ns5:e>
                  <ns5:r>
                    <ns5:t>x</ns5:t>
                  </ns5:r>
                </ns5:e>
              </ns5:d>
              <ns5:r>
                <ns5:rPr>
                  <ns5:sty ns5:val="p"/>
                </ns5:rPr>
                <ns5:t>=</ns5:t>
              </ns5:r>
              <ns5:r>
                <ns5:t>P</ns5:t>
              </ns5:r>
              <ns5:d>
                <ns5:dPr>
                  <ns5:begChr ns5:val="("/>
                  <ns5:sepChr ns5:val=""/>
                  <ns5:endChr ns5:val=")"/>
                  <ns5:grow/>
                </ns5:dPr>
                <ns5:e>
                  <ns5:r>
                    <ns5:t>X</ns5:t>
                  </ns5:r>
                  <ns5:r>
                    <ns5:rPr>
                      <ns5:sty ns5:val="p"/>
                    </ns5:rPr>
                    <ns5:t>≤</ns5:t>
                  </ns5:r>
                  <ns5:r>
                    <ns5:t>x</ns5:t>
                  </ns5:r>
                </ns5:e>
              </ns5:d>
            </ns5:oMath>
            <w:r>
              <w:rPr>
                <w:sz w:val="20"/>
                <w:szCs w:val="20"/>
              </w:rPr>
              <w:t xml:space="preserve">, shuma deri në</w:t>
            </w:r>
            <w:r>
              <w:rPr>
                <w:sz w:val="20"/>
                <w:szCs w:val="20"/>
              </w:rPr>
              <w:t xml:space="preserve"> </w:t>
            </w:r>
            <ns5:oMath>
              <ns5:r>
                <ns5:t>x</ns5:t>
              </ns5:r>
            </ns5:oMath>
          </w:p>
        </w:tc>
        <w:tc>
          <w:tcPr>
            <w:tcW w:w="3334" w:type="dxa"/>
            <w:shd w:fill="F3F7F9"/>
            <w:vAlign w:val="top"/>
          </w:tcPr>
          <w:p>
            <w:pPr>
              <w:pStyle w:val="Compact"/>
              <w:keepLines/>
              <w:widowControl/>
              <w:spacing w:before="0" w:after="40" w:line="240" w:lineRule="auto"/>
              <w:jc w:val="center"/>
            </w:pPr>
            <ns5:oMath>
              <ns5:r>
                <ns5:t>F</ns5:t>
              </ns5:r>
              <ns5:d>
                <ns5:dPr>
                  <ns5:begChr ns5:val="("/>
                  <ns5:sepChr ns5:val=""/>
                  <ns5:endChr ns5:val=")"/>
                  <ns5:grow/>
                </ns5:dPr>
                <ns5:e>
                  <ns5:r>
                    <ns5:t>x</ns5:t>
                  </ns5:r>
                </ns5:e>
              </ns5:d>
              <ns5:r>
                <ns5:rPr>
                  <ns5:sty ns5:val="p"/>
                </ns5:rPr>
                <ns5:t>=</ns5:t>
              </ns5:r>
              <ns5:r>
                <ns5:t>P</ns5:t>
              </ns5:r>
              <ns5:d>
                <ns5:dPr>
                  <ns5:begChr ns5:val="("/>
                  <ns5:sepChr ns5:val=""/>
                  <ns5:endChr ns5:val=")"/>
                  <ns5:grow/>
                </ns5:dPr>
                <ns5:e>
                  <ns5:r>
                    <ns5:t>X</ns5:t>
                  </ns5:r>
                  <ns5:r>
                    <ns5:rPr>
                      <ns5:sty ns5:val="p"/>
                    </ns5:rPr>
                    <ns5:t>≤</ns5:t>
                  </ns5:r>
                  <ns5:r>
                    <ns5:t>x</ns5:t>
                  </ns5:r>
                </ns5:e>
              </ns5:d>
            </ns5:oMath>
            <w:r>
              <w:rPr>
                <w:sz w:val="20"/>
                <w:szCs w:val="20"/>
              </w:rPr>
              <w:t xml:space="preserve">, sipërfaqja deri në</w:t>
            </w:r>
            <w:r>
              <w:rPr>
                <w:sz w:val="20"/>
                <w:szCs w:val="20"/>
              </w:rPr>
              <w:t xml:space="preserve"> </w:t>
            </w:r>
            <ns5:oMath>
              <ns5:r>
                <ns5:t>x</ns5:t>
              </ns5:r>
            </ns5:oMath>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Shembulli kryesor</w:t>
            </w:r>
          </w:p>
        </w:tc>
        <w:tc>
          <w:tcPr>
            <w:tcW w:w="3714" w:type="dxa"/>
            <w:shd w:fill="FFFFFF"/>
            <w:vAlign w:val="top"/>
          </w:tcPr>
          <w:p>
            <w:pPr>
              <w:pStyle w:val="Compact"/>
              <w:keepLines/>
              <w:widowControl/>
              <w:spacing w:before="0" w:after="40" w:line="240" w:lineRule="auto"/>
              <w:jc w:val="center"/>
            </w:pPr>
            <w:r>
              <w:rPr>
                <w:sz w:val="20"/>
                <w:szCs w:val="20"/>
              </w:rPr>
              <w:t xml:space="preserve">Binomiale</w:t>
            </w:r>
            <w:r>
              <w:rPr>
                <w:sz w:val="20"/>
                <w:szCs w:val="20"/>
              </w:rPr>
              <w:t xml:space="preserve"> </w:t>
            </w:r>
            <ns5:oMath>
              <ns5:r>
                <ns5:t>B</ns5:t>
              </ns5:r>
              <ns5:d>
                <ns5:dPr>
                  <ns5:begChr ns5:val="("/>
                  <ns5:sepChr ns5:val=""/>
                  <ns5:endChr ns5:val=")"/>
                  <ns5:grow/>
                </ns5:dPr>
                <ns5:e>
                  <ns5:r>
                    <ns5:t>n</ns5:t>
                  </ns5:r>
                  <ns5:r>
                    <ns5:rPr>
                      <ns5:sty ns5:val="p"/>
                    </ns5:rPr>
                    <ns5:t>,</ns5:t>
                  </ns5:r>
                  <ns5:r>
                    <ns5:t>π</ns5:t>
                  </ns5:r>
                </ns5:e>
              </ns5:d>
            </ns5:oMath>
          </w:p>
        </w:tc>
        <w:tc>
          <w:tcPr>
            <w:tcW w:w="3334" w:type="dxa"/>
            <w:shd w:fill="FFFFFF"/>
            <w:vAlign w:val="top"/>
          </w:tcPr>
          <w:p>
            <w:pPr>
              <w:pStyle w:val="Compact"/>
              <w:keepLines/>
              <w:widowControl/>
              <w:spacing w:before="0" w:after="40" w:line="240" w:lineRule="auto"/>
              <w:jc w:val="center"/>
            </w:pPr>
            <w:r>
              <w:rPr>
                <w:sz w:val="20"/>
                <w:szCs w:val="20"/>
              </w:rPr>
              <w:t xml:space="preserve">Normale</w:t>
            </w:r>
            <w:r>
              <w:rPr>
                <w:sz w:val="20"/>
                <w:szCs w:val="20"/>
              </w:rPr>
              <w:t xml:space="preserve"> </w:t>
            </w:r>
            <ns5:oMath>
              <ns5:r>
                <ns5:t>N</ns5:t>
              </ns5:r>
              <ns5:d>
                <ns5:dPr>
                  <ns5:begChr ns5:val="("/>
                  <ns5:sepChr ns5:val=""/>
                  <ns5:endChr ns5:val=")"/>
                  <ns5:grow/>
                </ns5:dPr>
                <ns5:e>
                  <ns5:r>
                    <ns5:t>μ</ns5:t>
                  </ns5:r>
                  <ns5:r>
                    <ns5:rPr>
                      <ns5:sty ns5:val="p"/>
                    </ns5:rPr>
                    <ns5:t>,</ns5:t>
                  </ns5:r>
                  <ns5:sSup>
                    <ns5:e>
                      <ns5:r>
                        <ns5:t>σ</ns5:t>
                      </ns5:r>
                    </ns5:e>
                    <ns5:sup>
                      <ns5:r>
                        <ns5:t>2</ns5:t>
                      </ns5:r>
                    </ns5:sup>
                  </ns5:sSup>
                </ns5:e>
              </ns5:d>
            </ns5:oMath>
          </w:p>
        </w:tc>
      </w:tr>
    </w:tbl>
    <w:bookmarkEnd w:id="30"/>
    <w:p/>
    <w:p>
      <w:pPr>
        <w:pBdr>
          <w:bottom w:val="single" w:sz="4" w:space="6" w:color="B8C6CF"/>
        </w:pBdr>
        <w:spacing w:before="60" w:after="100"/>
      </w:pPr>
    </w:p>
    <w:bookmarkEnd w:id="31"/>
    <w:bookmarkStart w:id="33" w:name="shpërndarja-binomiale"/>
    <w:p>
      <w:pPr>
        <w:pStyle w:val="Heading2"/>
      </w:pPr>
      <w:r>
        <w:t xml:space="preserve">Shpërndarja binomiale</w:t>
      </w:r>
    </w:p>
    <w:bookmarkStart w:id="32" w:name="tbl-summary-binomial"/>
    <w:p>
      <w:pPr>
        <w:pStyle w:val="TableCaption"/>
        <w:keepNext/>
        <w:keepLines/>
        <w:widowControl/>
        <w:spacing w:before="120" w:after="80"/>
        <w:jc w:val="left"/>
      </w:pPr>
      <w:r>
        <w:t xml:space="preserve">Tabela 5: Përmbledhje e modelit binomial.</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2286"/>
        <w:gridCol w:w="4190"/>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Vetia</w:t>
            </w:r>
          </w:p>
        </w:tc>
        <w:tc>
          <w:tcPr>
            <w:tcW w:w="2286" w:type="dxa"/>
            <w:shd w:fill="EAF2F6"/>
            <w:vAlign w:val="center"/>
          </w:tcPr>
          <w:p>
            <w:pPr>
              <w:pStyle w:val="Compact"/>
              <w:keepLines/>
              <w:widowControl/>
              <w:spacing w:before="0" w:after="40" w:line="240" w:lineRule="auto"/>
              <w:jc w:val="left"/>
            </w:pPr>
            <w:r>
              <w:rPr>
                <w:b/>
                <w:color w:val="183B56"/>
                <w:sz w:val="20"/>
                <w:szCs w:val="20"/>
              </w:rPr>
              <w:t xml:space="preserve">Formula</w:t>
            </w:r>
          </w:p>
        </w:tc>
        <w:tc>
          <w:tcPr>
            <w:tcW w:w="4190" w:type="dxa"/>
            <w:shd w:fill="EAF2F6"/>
            <w:vAlign w:val="center"/>
          </w:tcPr>
          <w:p>
            <w:pPr>
              <w:pStyle w:val="Compact"/>
              <w:keepLines/>
              <w:widowControl/>
              <w:spacing w:before="0" w:after="40" w:line="240" w:lineRule="auto"/>
              <w:jc w:val="left"/>
            </w:pPr>
            <w:r>
              <w:rPr>
                <w:b/>
                <w:color w:val="183B56"/>
                <w:sz w:val="20"/>
                <w:szCs w:val="20"/>
              </w:rPr>
              <w:t xml:space="preserve">Interpretimi</w:t>
            </w:r>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Shënimi</w:t>
            </w:r>
          </w:p>
        </w:tc>
        <w:tc>
          <w:tcPr>
            <w:tcW w:w="2286" w:type="dxa"/>
            <w:shd w:fill="F3F7F9"/>
            <w:vAlign w:val="top"/>
          </w:tcPr>
          <w:p>
            <w:pPr>
              <w:pStyle w:val="Compact"/>
              <w:keepLines/>
              <w:widowControl/>
              <w:spacing w:before="0" w:after="40" w:line="240" w:lineRule="auto"/>
              <w:jc w:val="center"/>
            </w:pPr>
            <ns5:oMath>
              <ns5:r>
                <ns5:t>X</ns5:t>
              </ns5:r>
              <ns5:r>
                <ns5:rPr>
                  <ns5:sty ns5:val="p"/>
                </ns5:rPr>
                <ns5:t>∼</ns5:t>
              </ns5:r>
              <ns5:r>
                <ns5:t>B</ns5:t>
              </ns5:r>
              <ns5:d>
                <ns5:dPr>
                  <ns5:begChr ns5:val="("/>
                  <ns5:sepChr ns5:val=""/>
                  <ns5:endChr ns5:val=")"/>
                  <ns5:grow/>
                </ns5:dPr>
                <ns5:e>
                  <ns5:r>
                    <ns5:t>n</ns5:t>
                  </ns5:r>
                  <ns5:r>
                    <ns5:rPr>
                      <ns5:sty ns5:val="p"/>
                    </ns5:rPr>
                    <ns5:t>,</ns5:t>
                  </ns5:r>
                  <ns5:r>
                    <ns5:t>π</ns5:t>
                  </ns5:r>
                </ns5:e>
              </ns5:d>
            </ns5:oMath>
          </w:p>
        </w:tc>
        <w:tc>
          <w:tcPr>
            <w:tcW w:w="4190" w:type="dxa"/>
            <w:shd w:fill="F3F7F9"/>
            <w:vAlign w:val="top"/>
          </w:tcPr>
          <w:p>
            <w:pPr>
              <w:pStyle w:val="Compact"/>
              <w:keepLines/>
              <w:widowControl/>
              <w:spacing w:before="0" w:after="40" w:line="240" w:lineRule="auto"/>
              <w:jc w:val="center"/>
            </w:pPr>
            <ns5:oMath>
              <ns5:r>
                <ns5:t>n</ns5:t>
              </ns5:r>
            </ns5:oMath>
            <w:r>
              <w:rPr>
                <w:sz w:val="20"/>
                <w:szCs w:val="20"/>
              </w:rPr>
              <w:t xml:space="preserve"> </w:t>
            </w:r>
            <w:r>
              <w:rPr>
                <w:sz w:val="20"/>
                <w:szCs w:val="20"/>
              </w:rPr>
              <w:t xml:space="preserve">prova, probabilitet suksesi</w:t>
            </w:r>
            <w:r>
              <w:rPr>
                <w:sz w:val="20"/>
                <w:szCs w:val="20"/>
              </w:rPr>
              <w:t xml:space="preserve"> </w:t>
            </w:r>
            <ns5:oMath>
              <ns5:r>
                <ns5:t>π</ns5:t>
              </ns5:r>
            </ns5:oMath>
            <w:r>
              <w:rPr>
                <w:sz w:val="20"/>
                <w:szCs w:val="20"/>
              </w:rPr>
              <w:t xml:space="preserve"> </w:t>
            </w:r>
            <w:r>
              <w:rPr>
                <w:sz w:val="20"/>
                <w:szCs w:val="20"/>
              </w:rPr>
              <w:t xml:space="preserve">për provë</w:t>
            </w:r>
          </w:p>
        </w:tc>
      </w:tr>
      <w:tr>
        <w:trPr>
          <w:cantSplit/>
        </w:trPr>
        <w:tc>
          <w:tcPr>
            <w:tcW w:w="3048" w:type="dxa"/>
            <w:shd w:fill="FFFFFF"/>
            <w:vAlign w:val="top"/>
          </w:tcPr>
          <w:p>
            <w:pPr>
              <w:pStyle w:val="Compact"/>
              <w:keepLines/>
              <w:widowControl/>
              <w:spacing w:before="0" w:after="40" w:line="240" w:lineRule="auto"/>
              <w:jc w:val="center"/>
            </w:pPr>
            <w:r>
              <w:rPr>
                <w:sz w:val="20"/>
                <w:szCs w:val="20"/>
              </w:rPr>
              <w:t xml:space="preserve">Funksioni i probabilitetit</w:t>
            </w:r>
          </w:p>
        </w:tc>
        <w:tc>
          <w:tcPr>
            <w:tcW w:w="2286"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X</ns5:t>
                  </ns5:r>
                  <ns5:r>
                    <ns5:rPr>
                      <ns5:sty ns5:val="p"/>
                    </ns5:rPr>
                    <ns5:t>=</ns5:t>
                  </ns5:r>
                  <ns5:r>
                    <ns5:t>x</ns5:t>
                  </ns5:r>
                </ns5:e>
              </ns5:d>
              <ns5:r>
                <ns5:rPr>
                  <ns5:sty ns5:val="p"/>
                </ns5:rPr>
                <ns5:t>=</ns5:t>
              </ns5:r>
              <ns5:d>
                <ns5:dPr>
                  <ns5:begChr ns5:val="("/>
                  <ns5:sepChr ns5:val=""/>
                  <ns5:endChr ns5:val=")"/>
                  <ns5:grow/>
                </ns5:dPr>
                <ns5:e>
                  <ns5:f>
                    <ns5:fPr>
                      <ns5:type ns5:val="noBar"/>
                    </ns5:fPr>
                    <ns5:num>
                      <ns5:r>
                        <ns5:t>n</ns5:t>
                      </ns5:r>
                    </ns5:num>
                    <ns5:den>
                      <ns5:r>
                        <ns5:t>x</ns5:t>
                      </ns5:r>
                    </ns5:den>
                  </ns5:f>
                </ns5:e>
              </ns5:d>
              <ns5:sSup>
                <ns5:e>
                  <ns5:r>
                    <ns5:t>π</ns5:t>
                  </ns5:r>
                </ns5:e>
                <ns5:sup>
                  <ns5:r>
                    <ns5:t>x</ns5:t>
                  </ns5:r>
                </ns5:sup>
              </ns5:sSup>
              <ns5:sSup>
                <ns5:e>
                  <ns5:d>
                    <ns5:dPr>
                      <ns5:begChr ns5:val="("/>
                      <ns5:sepChr ns5:val=""/>
                      <ns5:endChr ns5:val=")"/>
                      <ns5:grow/>
                    </ns5:dPr>
                    <ns5:e>
                      <ns5:r>
                        <ns5:t>1</ns5:t>
                      </ns5:r>
                      <ns5:r>
                        <ns5:rPr>
                          <ns5:sty ns5:val="p"/>
                        </ns5:rPr>
                        <ns5:t>−</ns5:t>
                      </ns5:r>
                      <ns5:r>
                        <ns5:t>π</ns5:t>
                      </ns5:r>
                    </ns5:e>
                  </ns5:d>
                </ns5:e>
                <ns5:sup>
                  <ns5:r>
                    <ns5:t>n</ns5:t>
                  </ns5:r>
                  <ns5:r>
                    <ns5:rPr>
                      <ns5:sty ns5:val="p"/>
                    </ns5:rPr>
                    <ns5:t>−</ns5:t>
                  </ns5:r>
                  <ns5:r>
                    <ns5:t>x</ns5:t>
                  </ns5:r>
                </ns5:sup>
              </ns5:sSup>
            </ns5:oMath>
          </w:p>
        </w:tc>
        <w:tc>
          <w:tcPr>
            <w:tcW w:w="4190" w:type="dxa"/>
            <w:shd w:fill="FFFFFF"/>
            <w:vAlign w:val="top"/>
          </w:tcPr>
          <w:p>
            <w:pPr>
              <w:pStyle w:val="Compact"/>
              <w:keepLines/>
              <w:widowControl/>
              <w:spacing w:before="0" w:after="40" w:line="240" w:lineRule="auto"/>
              <w:jc w:val="center"/>
            </w:pPr>
            <w:r>
              <w:rPr>
                <w:sz w:val="20"/>
                <w:szCs w:val="20"/>
              </w:rPr>
              <w:t xml:space="preserve">Probabiliteti i saktë i</w:t>
            </w:r>
            <w:r>
              <w:rPr>
                <w:sz w:val="20"/>
                <w:szCs w:val="20"/>
              </w:rPr>
              <w:t xml:space="preserve"> </w:t>
            </w:r>
            <ns5:oMath>
              <ns5:r>
                <ns5:t>x</ns5:t>
              </ns5:r>
            </ns5:oMath>
            <w:r>
              <w:rPr>
                <w:sz w:val="20"/>
                <w:szCs w:val="20"/>
              </w:rPr>
              <w:t xml:space="preserve"> </w:t>
            </w:r>
            <w:r>
              <w:rPr>
                <w:sz w:val="20"/>
                <w:szCs w:val="20"/>
              </w:rPr>
              <w:t xml:space="preserve">sukseseve</w:t>
            </w:r>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Vlera e pritur</w:t>
            </w:r>
          </w:p>
        </w:tc>
        <w:tc>
          <w:tcPr>
            <w:tcW w:w="2286" w:type="dxa"/>
            <w:shd w:fill="F3F7F9"/>
            <w:vAlign w:val="top"/>
          </w:tcPr>
          <w:p>
            <w:pPr>
              <w:pStyle w:val="Compact"/>
              <w:keepLines/>
              <w:widowControl/>
              <w:spacing w:before="0" w:after="40" w:line="240" w:lineRule="auto"/>
              <w:jc w:val="center"/>
            </w:pPr>
            <ns5:oMath>
              <ns5:r>
                <ns5:t>E</ns5:t>
              </ns5:r>
              <ns5:d>
                <ns5:dPr>
                  <ns5:begChr ns5:val="("/>
                  <ns5:sepChr ns5:val=""/>
                  <ns5:endChr ns5:val=")"/>
                  <ns5:grow/>
                </ns5:dPr>
                <ns5:e>
                  <ns5:r>
                    <ns5:t>X</ns5:t>
                  </ns5:r>
                </ns5:e>
              </ns5:d>
              <ns5:r>
                <ns5:rPr>
                  <ns5:sty ns5:val="p"/>
                </ns5:rPr>
                <ns5:t>=</ns5:t>
              </ns5:r>
              <ns5:r>
                <ns5:t>n</ns5:t>
              </ns5:r>
              <ns5:r>
                <ns5:t>π</ns5:t>
              </ns5:r>
            </ns5:oMath>
          </w:p>
        </w:tc>
        <w:tc>
          <w:tcPr>
            <w:tcW w:w="4190" w:type="dxa"/>
            <w:shd w:fill="F3F7F9"/>
            <w:vAlign w:val="top"/>
          </w:tcPr>
          <w:p>
            <w:pPr>
              <w:pStyle w:val="Compact"/>
              <w:keepLines/>
              <w:widowControl/>
              <w:spacing w:before="0" w:after="40" w:line="240" w:lineRule="auto"/>
              <w:jc w:val="center"/>
            </w:pPr>
            <w:r>
              <w:rPr>
                <w:sz w:val="20"/>
                <w:szCs w:val="20"/>
              </w:rPr>
              <w:t xml:space="preserve">Numri mesatar afatgjatë i sukseseve</w:t>
            </w:r>
          </w:p>
        </w:tc>
      </w:tr>
      <w:tr>
        <w:trPr>
          <w:cantSplit/>
        </w:trPr>
        <w:tc>
          <w:tcPr>
            <w:tcW w:w="3048" w:type="dxa"/>
            <w:shd w:fill="FFFFFF"/>
            <w:vAlign w:val="top"/>
          </w:tcPr>
          <w:p>
            <w:pPr>
              <w:pStyle w:val="Compact"/>
              <w:keepLines/>
              <w:widowControl/>
              <w:spacing w:before="0" w:after="40" w:line="240" w:lineRule="auto"/>
              <w:jc w:val="center"/>
            </w:pPr>
            <w:r>
              <w:rPr>
                <w:sz w:val="20"/>
                <w:szCs w:val="20"/>
              </w:rPr>
              <w:t xml:space="preserve">Varianca</w:t>
            </w:r>
          </w:p>
        </w:tc>
        <w:tc>
          <w:tcPr>
            <w:tcW w:w="2286" w:type="dxa"/>
            <w:shd w:fill="FFFFFF"/>
            <w:vAlign w:val="top"/>
          </w:tcPr>
          <w:p>
            <w:pPr>
              <w:pStyle w:val="Compact"/>
              <w:keepLines/>
              <w:widowControl/>
              <w:spacing w:before="0" w:after="40" w:line="240" w:lineRule="auto"/>
              <w:jc w:val="center"/>
            </w:pPr>
            <ns5:oMath>
              <ns5:r>
                <ns5:rPr>
                  <ns5:nor/>
                  <ns5:sty ns5:val="p"/>
                </ns5:rPr>
                <ns5:t>Var</ns5:t>
              </ns5:r>
              <ns5:d>
                <ns5:dPr>
                  <ns5:begChr ns5:val="("/>
                  <ns5:sepChr ns5:val=""/>
                  <ns5:endChr ns5:val=")"/>
                  <ns5:grow/>
                </ns5:dPr>
                <ns5:e>
                  <ns5:r>
                    <ns5:t>X</ns5:t>
                  </ns5:r>
                </ns5:e>
              </ns5:d>
              <ns5:r>
                <ns5:rPr>
                  <ns5:sty ns5:val="p"/>
                </ns5:rPr>
                <ns5:t>=</ns5:t>
              </ns5:r>
              <ns5:r>
                <ns5:t>n</ns5:t>
              </ns5:r>
              <ns5:r>
                <ns5:t>π</ns5:t>
              </ns5:r>
              <ns5:d>
                <ns5:dPr>
                  <ns5:begChr ns5:val="("/>
                  <ns5:sepChr ns5:val=""/>
                  <ns5:endChr ns5:val=")"/>
                  <ns5:grow/>
                </ns5:dPr>
                <ns5:e>
                  <ns5:r>
                    <ns5:t>1</ns5:t>
                  </ns5:r>
                  <ns5:r>
                    <ns5:rPr>
                      <ns5:sty ns5:val="p"/>
                    </ns5:rPr>
                    <ns5:t>−</ns5:t>
                  </ns5:r>
                  <ns5:r>
                    <ns5:t>π</ns5:t>
                  </ns5:r>
                </ns5:e>
              </ns5:d>
            </ns5:oMath>
          </w:p>
        </w:tc>
        <w:tc>
          <w:tcPr>
            <w:tcW w:w="4190" w:type="dxa"/>
            <w:shd w:fill="FFFFFF"/>
            <w:vAlign w:val="top"/>
          </w:tcPr>
          <w:p>
            <w:pPr>
              <w:pStyle w:val="Compact"/>
              <w:keepLines/>
              <w:widowControl/>
              <w:spacing w:before="0" w:after="40" w:line="240" w:lineRule="auto"/>
              <w:jc w:val="center"/>
            </w:pPr>
            <w:r>
              <w:rPr>
                <w:sz w:val="20"/>
                <w:szCs w:val="20"/>
              </w:rPr>
              <w:t xml:space="preserve">Përhapja e shpërndarjes</w:t>
            </w:r>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Simetrike vetëm kur</w:t>
            </w:r>
          </w:p>
        </w:tc>
        <w:tc>
          <w:tcPr>
            <w:tcW w:w="2286" w:type="dxa"/>
            <w:shd w:fill="F3F7F9"/>
            <w:vAlign w:val="top"/>
          </w:tcPr>
          <w:p>
            <w:pPr>
              <w:pStyle w:val="Compact"/>
              <w:keepLines/>
              <w:widowControl/>
              <w:spacing w:before="0" w:after="40" w:line="240" w:lineRule="auto"/>
              <w:jc w:val="center"/>
            </w:pPr>
            <ns5:oMath>
              <ns5:r>
                <ns5:t>π</ns5:t>
              </ns5:r>
              <ns5:r>
                <ns5:rPr>
                  <ns5:sty ns5:val="p"/>
                </ns5:rPr>
                <ns5:t>=</ns5:t>
              </ns5:r>
              <ns5:r>
                <ns5:t>0.5</ns5:t>
              </ns5:r>
            </ns5:oMath>
          </w:p>
        </w:tc>
        <w:tc>
          <w:tcPr>
            <w:tcW w:w="4190" w:type="dxa"/>
            <w:shd w:fill="F3F7F9"/>
            <w:vAlign w:val="top"/>
          </w:tcPr>
          <w:p>
            <w:pPr>
              <w:pStyle w:val="Compact"/>
              <w:keepLines/>
              <w:widowControl/>
              <w:spacing w:before="0" w:after="40" w:line="240" w:lineRule="auto"/>
              <w:jc w:val="center"/>
            </w:pPr>
            <w:r>
              <w:rPr>
                <w:sz w:val="20"/>
                <w:szCs w:val="20"/>
              </w:rPr>
              <w:t xml:space="preserve">Përndryshe asimetrike</w:t>
            </w:r>
          </w:p>
        </w:tc>
      </w:tr>
    </w:tbl>
    <w:bookmarkEnd w:id="32"/>
    <w:p/>
    <w:p>
      <w:pPr>
        <w:pBdr>
          <w:bottom w:val="single" w:sz="4" w:space="6" w:color="B8C6CF"/>
        </w:pBdr>
        <w:spacing w:before="60" w:after="100"/>
      </w:pPr>
    </w:p>
    <w:bookmarkEnd w:id="33"/>
    <w:bookmarkStart w:id="35" w:name="shpërndarja-normale-dhe-kampionimi"/>
    <w:p>
      <w:pPr>
        <w:pStyle w:val="Heading2"/>
      </w:pPr>
      <w:r>
        <w:t xml:space="preserve">Shpërndarja normale dhe kampionimi</w:t>
      </w:r>
    </w:p>
    <w:bookmarkStart w:id="34" w:name="tbl-summary-normal-sampling"/>
    <w:p>
      <w:pPr>
        <w:pStyle w:val="TableCaption"/>
        <w:keepNext/>
        <w:keepLines/>
        <w:widowControl/>
        <w:spacing w:before="120" w:after="80"/>
        <w:jc w:val="left"/>
      </w:pPr>
      <w:r>
        <w:t xml:space="preserve">Tabela 6: Përmbledhje e modelit normal dhe e shpërndarjes së kampionimit.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857"/>
        <w:gridCol w:w="2476"/>
        <w:gridCol w:w="4191"/>
      </w:tblGrid>
      <w:tr>
        <w:trPr>
          <w:cantSplit/>
          <w:tblHeader w:val="on"/>
        </w:trPr>
        <w:tc>
          <w:tcPr>
            <w:tcW w:w="2857" w:type="dxa"/>
            <w:shd w:fill="EAF2F6"/>
            <w:vAlign w:val="center"/>
          </w:tcPr>
          <w:p>
            <w:pPr>
              <w:pStyle w:val="Compact"/>
              <w:keepLines/>
              <w:widowControl/>
              <w:spacing w:before="0" w:after="40" w:line="240" w:lineRule="auto"/>
              <w:jc w:val="left"/>
            </w:pPr>
            <w:r>
              <w:rPr>
                <w:b/>
                <w:color w:val="183B56"/>
                <w:sz w:val="20"/>
                <w:szCs w:val="20"/>
              </w:rPr>
              <w:t xml:space="preserve">Vetia</w:t>
            </w:r>
          </w:p>
        </w:tc>
        <w:tc>
          <w:tcPr>
            <w:tcW w:w="2476" w:type="dxa"/>
            <w:shd w:fill="EAF2F6"/>
            <w:vAlign w:val="center"/>
          </w:tcPr>
          <w:p>
            <w:pPr>
              <w:pStyle w:val="Compact"/>
              <w:keepLines/>
              <w:widowControl/>
              <w:spacing w:before="0" w:after="40" w:line="240" w:lineRule="auto"/>
              <w:jc w:val="left"/>
            </w:pPr>
            <w:r>
              <w:rPr>
                <w:b/>
                <w:color w:val="183B56"/>
                <w:sz w:val="20"/>
                <w:szCs w:val="20"/>
              </w:rPr>
              <w:t xml:space="preserve">Formula ose vlera</w:t>
            </w:r>
          </w:p>
        </w:tc>
        <w:tc>
          <w:tcPr>
            <w:tcW w:w="4191" w:type="dxa"/>
            <w:shd w:fill="EAF2F6"/>
            <w:vAlign w:val="center"/>
          </w:tcPr>
          <w:p>
            <w:pPr>
              <w:pStyle w:val="Compact"/>
              <w:keepLines/>
              <w:widowControl/>
              <w:spacing w:before="0" w:after="40" w:line="240" w:lineRule="auto"/>
              <w:jc w:val="left"/>
            </w:pPr>
            <w:r>
              <w:rPr>
                <w:b/>
                <w:color w:val="183B56"/>
                <w:sz w:val="20"/>
                <w:szCs w:val="20"/>
              </w:rPr>
              <w:t xml:space="preserve">Interpretimi</w:t>
            </w:r>
          </w:p>
        </w:tc>
      </w:tr>
      <w:tr>
        <w:trPr>
          <w:cantSplit/>
        </w:trPr>
        <w:tc>
          <w:tcPr>
            <w:tcW w:w="2857" w:type="dxa"/>
            <w:shd w:fill="F3F7F9"/>
            <w:vAlign w:val="top"/>
          </w:tcPr>
          <w:p>
            <w:pPr>
              <w:pStyle w:val="Compact"/>
              <w:keepLines/>
              <w:widowControl/>
              <w:spacing w:before="0" w:after="40" w:line="240" w:lineRule="auto"/>
              <w:jc w:val="center"/>
            </w:pPr>
            <w:r>
              <w:rPr>
                <w:sz w:val="20"/>
                <w:szCs w:val="20"/>
              </w:rPr>
              <w:t xml:space="preserve">Shpërndarja normale</w:t>
            </w:r>
          </w:p>
        </w:tc>
        <w:tc>
          <w:tcPr>
            <w:tcW w:w="2476" w:type="dxa"/>
            <w:shd w:fill="F3F7F9"/>
            <w:vAlign w:val="top"/>
          </w:tcPr>
          <w:p>
            <w:pPr>
              <w:pStyle w:val="Compact"/>
              <w:keepLines/>
              <w:widowControl/>
              <w:spacing w:before="0" w:after="40" w:line="240" w:lineRule="auto"/>
              <w:jc w:val="center"/>
            </w:pPr>
            <ns5:oMath>
              <ns5:r>
                <ns5:t>X</ns5:t>
              </ns5:r>
              <ns5:r>
                <ns5:rPr>
                  <ns5:sty ns5:val="p"/>
                </ns5:rPr>
                <ns5:t>∼</ns5:t>
              </ns5:r>
              <ns5:r>
                <ns5:t>N</ns5:t>
              </ns5:r>
              <ns5:d>
                <ns5:dPr>
                  <ns5:begChr ns5:val="("/>
                  <ns5:sepChr ns5:val=""/>
                  <ns5:endChr ns5:val=")"/>
                  <ns5:grow/>
                </ns5:dPr>
                <ns5:e>
                  <ns5:r>
                    <ns5:t>μ</ns5:t>
                  </ns5:r>
                  <ns5:r>
                    <ns5:rPr>
                      <ns5:sty ns5:val="p"/>
                    </ns5:rPr>
                    <ns5:t>,</ns5:t>
                  </ns5:r>
                  <ns5:sSup>
                    <ns5:e>
                      <ns5:r>
                        <ns5:t>σ</ns5:t>
                      </ns5:r>
                    </ns5:e>
                    <ns5:sup>
                      <ns5:r>
                        <ns5:t>2</ns5:t>
                      </ns5:r>
                    </ns5:sup>
                  </ns5:sSup>
                </ns5:e>
              </ns5:d>
            </ns5:oMath>
          </w:p>
        </w:tc>
        <w:tc>
          <w:tcPr>
            <w:tcW w:w="4191" w:type="dxa"/>
            <w:shd w:fill="F3F7F9"/>
            <w:vAlign w:val="top"/>
          </w:tcPr>
          <w:p>
            <w:pPr>
              <w:pStyle w:val="Compact"/>
              <w:keepLines/>
              <w:widowControl/>
              <w:spacing w:before="0" w:after="40" w:line="240" w:lineRule="auto"/>
              <w:jc w:val="center"/>
            </w:pPr>
            <w:r>
              <w:rPr>
                <w:sz w:val="20"/>
                <w:szCs w:val="20"/>
              </w:rPr>
              <w:t xml:space="preserve">Karakterizohet nga mesatarja dhe varianca</w:t>
            </w:r>
          </w:p>
        </w:tc>
      </w:tr>
      <w:tr>
        <w:trPr>
          <w:cantSplit/>
        </w:trPr>
        <w:tc>
          <w:tcPr>
            <w:tcW w:w="2857" w:type="dxa"/>
            <w:shd w:fill="FFFFFF"/>
            <w:vAlign w:val="top"/>
          </w:tcPr>
          <w:p>
            <w:pPr>
              <w:pStyle w:val="Compact"/>
              <w:keepLines/>
              <w:widowControl/>
              <w:spacing w:before="0" w:after="40" w:line="240" w:lineRule="auto"/>
              <w:jc w:val="center"/>
            </w:pPr>
            <w:r>
              <w:rPr>
                <w:sz w:val="20"/>
                <w:szCs w:val="20"/>
              </w:rPr>
              <w:t xml:space="preserve">Rregulli empirik:</w:t>
            </w:r>
            <w:r>
              <w:rPr>
                <w:sz w:val="20"/>
                <w:szCs w:val="20"/>
              </w:rPr>
              <w:t xml:space="preserve"> </w:t>
            </w:r>
            <ns5:oMath>
              <ns5:r>
                <ns5:t>μ</ns5:t>
              </ns5:r>
              <ns5:r>
                <ns5:rPr>
                  <ns5:sty ns5:val="p"/>
                </ns5:rPr>
                <ns5:t>±</ns5:t>
              </ns5:r>
              <ns5:r>
                <ns5:t>σ</ns5:t>
              </ns5:r>
            </ns5:oMath>
          </w:p>
        </w:tc>
        <w:tc>
          <w:tcPr>
            <w:tcW w:w="2476" w:type="dxa"/>
            <w:shd w:fill="FFFFFF"/>
            <w:vAlign w:val="top"/>
          </w:tcPr>
          <w:p>
            <w:pPr>
              <w:pStyle w:val="Compact"/>
              <w:keepLines/>
              <w:widowControl/>
              <w:spacing w:before="0" w:after="40" w:line="240" w:lineRule="auto"/>
              <w:jc w:val="center"/>
            </w:pPr>
            <ns5:oMath>
              <ns5:r>
                <ns5:rPr>
                  <ns5:sty ns5:val="p"/>
                </ns5:rPr>
                <ns5:t>≈</ns5:t>
              </ns5:r>
              <ns5:r>
                <ns5:t>68</ns5:t>
              </ns5:r>
              <ns5:r>
                <ns5:rPr>
                  <ns5:sty ns5:val="p"/>
                </ns5:rPr>
                <ns5:t>%</ns5:t>
              </ns5:r>
            </ns5:oMath>
          </w:p>
        </w:tc>
        <w:tc>
          <w:tcPr>
            <w:tcW w:w="4191" w:type="dxa"/>
            <w:shd w:fill="FFFFFF"/>
            <w:vAlign w:val="top"/>
          </w:tcPr>
          <w:p>
            <w:pPr>
              <w:pStyle w:val="Compact"/>
              <w:keepLines/>
              <w:widowControl/>
              <w:spacing w:before="0" w:after="40" w:line="240" w:lineRule="auto"/>
              <w:jc w:val="center"/>
            </w:pPr>
            <w:r>
              <w:rPr>
                <w:sz w:val="20"/>
                <w:szCs w:val="20"/>
              </w:rPr>
              <w:t xml:space="preserve">Shumica e vlerave pranë qendrës</w:t>
            </w:r>
          </w:p>
        </w:tc>
      </w:tr>
      <w:tr>
        <w:trPr>
          <w:cantSplit/>
        </w:trPr>
        <w:tc>
          <w:tcPr>
            <w:tcW w:w="2857" w:type="dxa"/>
            <w:shd w:fill="F3F7F9"/>
            <w:vAlign w:val="top"/>
          </w:tcPr>
          <w:p>
            <w:pPr>
              <w:pStyle w:val="Compact"/>
              <w:keepLines/>
              <w:widowControl/>
              <w:spacing w:before="0" w:after="40" w:line="240" w:lineRule="auto"/>
              <w:jc w:val="center"/>
            </w:pPr>
            <w:r>
              <w:rPr>
                <w:sz w:val="20"/>
                <w:szCs w:val="20"/>
              </w:rPr>
              <w:t xml:space="preserve">Rregulli empirik:</w:t>
            </w:r>
            <w:r>
              <w:rPr>
                <w:sz w:val="20"/>
                <w:szCs w:val="20"/>
              </w:rPr>
              <w:t xml:space="preserve"> </w:t>
            </w:r>
            <ns5:oMath>
              <ns5:r>
                <ns5:t>μ</ns5:t>
              </ns5:r>
              <ns5:r>
                <ns5:rPr>
                  <ns5:sty ns5:val="p"/>
                </ns5:rPr>
                <ns5:t>±</ns5:t>
              </ns5:r>
              <ns5:r>
                <ns5:t>2</ns5:t>
              </ns5:r>
              <ns5:r>
                <ns5:t>σ</ns5:t>
              </ns5:r>
            </ns5:oMath>
          </w:p>
        </w:tc>
        <w:tc>
          <w:tcPr>
            <w:tcW w:w="2476" w:type="dxa"/>
            <w:shd w:fill="F3F7F9"/>
            <w:vAlign w:val="top"/>
          </w:tcPr>
          <w:p>
            <w:pPr>
              <w:pStyle w:val="Compact"/>
              <w:keepLines/>
              <w:widowControl/>
              <w:spacing w:before="0" w:after="40" w:line="240" w:lineRule="auto"/>
              <w:jc w:val="center"/>
            </w:pPr>
            <ns5:oMath>
              <ns5:r>
                <ns5:rPr>
                  <ns5:sty ns5:val="p"/>
                </ns5:rPr>
                <ns5:t>≈</ns5:t>
              </ns5:r>
              <ns5:r>
                <ns5:t>95</ns5:t>
              </ns5:r>
              <ns5:r>
                <ns5:rPr>
                  <ns5:sty ns5:val="p"/>
                </ns5:rPr>
                <ns5:t>%</ns5:t>
              </ns5:r>
            </ns5:oMath>
          </w:p>
        </w:tc>
        <w:tc>
          <w:tcPr>
            <w:tcW w:w="4191" w:type="dxa"/>
            <w:shd w:fill="F3F7F9"/>
            <w:vAlign w:val="top"/>
          </w:tcPr>
          <w:p>
            <w:pPr>
              <w:pStyle w:val="Compact"/>
              <w:keepLines/>
              <w:widowControl/>
              <w:spacing w:before="0" w:after="40" w:line="240" w:lineRule="auto"/>
              <w:jc w:val="center"/>
            </w:pPr>
            <w:r>
              <w:rPr>
                <w:sz w:val="20"/>
                <w:szCs w:val="20"/>
              </w:rPr>
              <w:t xml:space="preserve">Shumë pak vlera ndodhen përtej dy devijimeve standarde</w:t>
            </w:r>
          </w:p>
        </w:tc>
      </w:tr>
      <w:tr>
        <w:trPr>
          <w:cantSplit/>
        </w:trPr>
        <w:tc>
          <w:tcPr>
            <w:tcW w:w="2857" w:type="dxa"/>
            <w:shd w:fill="FFFFFF"/>
            <w:vAlign w:val="top"/>
          </w:tcPr>
          <w:p>
            <w:pPr>
              <w:pStyle w:val="Compact"/>
              <w:keepLines/>
              <w:widowControl/>
              <w:spacing w:before="0" w:after="40" w:line="240" w:lineRule="auto"/>
              <w:jc w:val="center"/>
            </w:pPr>
            <w:r>
              <w:rPr>
                <w:sz w:val="20"/>
                <w:szCs w:val="20"/>
              </w:rPr>
              <w:t xml:space="preserve">Rregulli empirik:</w:t>
            </w:r>
            <w:r>
              <w:rPr>
                <w:sz w:val="20"/>
                <w:szCs w:val="20"/>
              </w:rPr>
              <w:t xml:space="preserve"> </w:t>
            </w:r>
            <ns5:oMath>
              <ns5:r>
                <ns5:t>μ</ns5:t>
              </ns5:r>
              <ns5:r>
                <ns5:rPr>
                  <ns5:sty ns5:val="p"/>
                </ns5:rPr>
                <ns5:t>±</ns5:t>
              </ns5:r>
              <ns5:r>
                <ns5:t>3</ns5:t>
              </ns5:r>
              <ns5:r>
                <ns5:t>σ</ns5:t>
              </ns5:r>
            </ns5:oMath>
          </w:p>
        </w:tc>
        <w:tc>
          <w:tcPr>
            <w:tcW w:w="2476" w:type="dxa"/>
            <w:shd w:fill="FFFFFF"/>
            <w:vAlign w:val="top"/>
          </w:tcPr>
          <w:p>
            <w:pPr>
              <w:pStyle w:val="Compact"/>
              <w:keepLines/>
              <w:widowControl/>
              <w:spacing w:before="0" w:after="40" w:line="240" w:lineRule="auto"/>
              <w:jc w:val="center"/>
            </w:pPr>
            <ns5:oMath>
              <ns5:r>
                <ns5:rPr>
                  <ns5:sty ns5:val="p"/>
                </ns5:rPr>
                <ns5:t>≈</ns5:t>
              </ns5:r>
              <ns5:r>
                <ns5:t>99.7</ns5:t>
              </ns5:r>
              <ns5:r>
                <ns5:rPr>
                  <ns5:sty ns5:val="p"/>
                </ns5:rPr>
                <ns5:t>%</ns5:t>
              </ns5:r>
            </ns5:oMath>
          </w:p>
        </w:tc>
        <w:tc>
          <w:tcPr>
            <w:tcW w:w="4191" w:type="dxa"/>
            <w:shd w:fill="FFFFFF"/>
            <w:vAlign w:val="top"/>
          </w:tcPr>
          <w:p>
            <w:pPr>
              <w:pStyle w:val="Compact"/>
              <w:keepLines/>
              <w:widowControl/>
              <w:spacing w:before="0" w:after="40" w:line="240" w:lineRule="auto"/>
              <w:jc w:val="center"/>
            </w:pPr>
            <w:r>
              <w:rPr>
                <w:sz w:val="20"/>
                <w:szCs w:val="20"/>
              </w:rPr>
              <w:t xml:space="preserve">Vlerat skajore janë shumë të rralla</w:t>
            </w:r>
          </w:p>
        </w:tc>
      </w:tr>
      <w:tr>
        <w:trPr>
          <w:cantSplit/>
        </w:trPr>
        <w:tc>
          <w:tcPr>
            <w:tcW w:w="2857" w:type="dxa"/>
            <w:shd w:fill="F3F7F9"/>
            <w:vAlign w:val="top"/>
          </w:tcPr>
          <w:p>
            <w:pPr>
              <w:pStyle w:val="Compact"/>
              <w:keepLines/>
              <w:widowControl/>
              <w:spacing w:before="0" w:after="40" w:line="240" w:lineRule="auto"/>
              <w:jc w:val="center"/>
            </w:pPr>
            <w:r>
              <w:rPr>
                <w:sz w:val="20"/>
                <w:szCs w:val="20"/>
              </w:rPr>
              <w:t xml:space="preserve">Pikëzimi z</w:t>
            </w:r>
          </w:p>
        </w:tc>
        <w:tc>
          <w:tcPr>
            <w:tcW w:w="2476" w:type="dxa"/>
            <w:shd w:fill="F3F7F9"/>
            <w:vAlign w:val="top"/>
          </w:tcPr>
          <w:p>
            <w:pPr>
              <w:pStyle w:val="Compact"/>
              <w:keepLines/>
              <w:widowControl/>
              <w:spacing w:before="0" w:after="40" w:line="240" w:lineRule="auto"/>
              <w:jc w:val="center"/>
            </w:pPr>
            <ns5:oMath>
              <ns5:r>
                <ns5:t>z</ns5:t>
              </ns5:r>
              <ns5:r>
                <ns5:rPr>
                  <ns5:sty ns5:val="p"/>
                </ns5:rPr>
                <ns5:t>=</ns5:t>
              </ns5:r>
              <ns5:d>
                <ns5:dPr>
                  <ns5:begChr ns5:val="("/>
                  <ns5:sepChr ns5:val=""/>
                  <ns5:endChr ns5:val=")"/>
                  <ns5:grow/>
                </ns5:dPr>
                <ns5:e>
                  <ns5:r>
                    <ns5:t>x</ns5:t>
                  </ns5:r>
                  <ns5:r>
                    <ns5:rPr>
                      <ns5:sty ns5:val="p"/>
                    </ns5:rPr>
                    <ns5:t>−</ns5:t>
                  </ns5:r>
                  <ns5:r>
                    <ns5:t>μ</ns5:t>
                  </ns5:r>
                </ns5:e>
              </ns5:d>
              <ns5:r>
                <ns5:rPr>
                  <ns5:sty ns5:val="p"/>
                </ns5:rPr>
                <ns5:t>/</ns5:t>
              </ns5:r>
              <ns5:r>
                <ns5:t>σ</ns5:t>
              </ns5:r>
            </ns5:oMath>
          </w:p>
        </w:tc>
        <w:tc>
          <w:tcPr>
            <w:tcW w:w="4191" w:type="dxa"/>
            <w:shd w:fill="F3F7F9"/>
            <w:vAlign w:val="top"/>
          </w:tcPr>
          <w:p>
            <w:pPr>
              <w:pStyle w:val="Compact"/>
              <w:keepLines/>
              <w:widowControl/>
              <w:spacing w:before="0" w:after="40" w:line="240" w:lineRule="auto"/>
              <w:jc w:val="center"/>
            </w:pPr>
            <w:r>
              <w:rPr>
                <w:sz w:val="20"/>
                <w:szCs w:val="20"/>
              </w:rPr>
              <w:t xml:space="preserve">Largësia e standardizuar nga mesatarja</w:t>
            </w:r>
          </w:p>
        </w:tc>
      </w:tr>
      <w:tr>
        <w:trPr>
          <w:cantSplit/>
        </w:trPr>
        <w:tc>
          <w:tcPr>
            <w:tcW w:w="2857" w:type="dxa"/>
            <w:shd w:fill="FFFFFF"/>
            <w:vAlign w:val="top"/>
          </w:tcPr>
          <w:p>
            <w:pPr>
              <w:pStyle w:val="Compact"/>
              <w:keepLines/>
              <w:widowControl/>
              <w:spacing w:before="0" w:after="40" w:line="240" w:lineRule="auto"/>
              <w:jc w:val="center"/>
            </w:pPr>
            <w:r>
              <w:rPr>
                <w:sz w:val="20"/>
                <w:szCs w:val="20"/>
              </w:rPr>
              <w:t xml:space="preserve">Normalja standarde</w:t>
            </w:r>
          </w:p>
        </w:tc>
        <w:tc>
          <w:tcPr>
            <w:tcW w:w="2476" w:type="dxa"/>
            <w:shd w:fill="FFFFFF"/>
            <w:vAlign w:val="top"/>
          </w:tcPr>
          <w:p>
            <w:pPr>
              <w:pStyle w:val="Compact"/>
              <w:keepLines/>
              <w:widowControl/>
              <w:spacing w:before="0" w:after="40" w:line="240" w:lineRule="auto"/>
              <w:jc w:val="center"/>
            </w:pPr>
            <ns5:oMath>
              <ns5:r>
                <ns5:t>Z</ns5:t>
              </ns5:r>
              <ns5:r>
                <ns5:rPr>
                  <ns5:sty ns5:val="p"/>
                </ns5:rPr>
                <ns5:t>∼</ns5:t>
              </ns5:r>
              <ns5:r>
                <ns5:t>N</ns5:t>
              </ns5:r>
              <ns5:d>
                <ns5:dPr>
                  <ns5:begChr ns5:val="("/>
                  <ns5:sepChr ns5:val=""/>
                  <ns5:endChr ns5:val=")"/>
                  <ns5:grow/>
                </ns5:dPr>
                <ns5:e>
                  <ns5:r>
                    <ns5:t>0</ns5:t>
                  </ns5:r>
                  <ns5:r>
                    <ns5:rPr>
                      <ns5:sty ns5:val="p"/>
                    </ns5:rPr>
                    <ns5:t>,</ns5:t>
                  </ns5:r>
                  <ns5:r>
                    <ns5:t>1</ns5:t>
                  </ns5:r>
                </ns5:e>
              </ns5:d>
            </ns5:oMath>
          </w:p>
        </w:tc>
        <w:tc>
          <w:tcPr>
            <w:tcW w:w="4191" w:type="dxa"/>
            <w:shd w:fill="FFFFFF"/>
            <w:vAlign w:val="top"/>
          </w:tcPr>
          <w:p>
            <w:pPr>
              <w:pStyle w:val="Compact"/>
              <w:keepLines/>
              <w:widowControl/>
              <w:spacing w:before="0" w:after="40" w:line="240" w:lineRule="auto"/>
              <w:jc w:val="center"/>
            </w:pPr>
            <w:r>
              <w:rPr>
                <w:sz w:val="20"/>
                <w:szCs w:val="20"/>
              </w:rPr>
              <w:t xml:space="preserve">Referenca pas transformimit z</w:t>
            </w:r>
          </w:p>
        </w:tc>
      </w:tr>
      <w:tr>
        <w:trPr>
          <w:cantSplit/>
        </w:trPr>
        <w:tc>
          <w:tcPr>
            <w:tcW w:w="2857" w:type="dxa"/>
            <w:shd w:fill="F3F7F9"/>
            <w:vAlign w:val="top"/>
          </w:tcPr>
          <w:p>
            <w:pPr>
              <w:pStyle w:val="Compact"/>
              <w:keepLines/>
              <w:widowControl/>
              <w:spacing w:before="0" w:after="40" w:line="240" w:lineRule="auto"/>
              <w:jc w:val="center"/>
            </w:pPr>
            <w:r>
              <w:rPr>
                <w:sz w:val="20"/>
                <w:szCs w:val="20"/>
              </w:rPr>
              <w:t xml:space="preserve">Gabimi standard</w:t>
            </w:r>
          </w:p>
        </w:tc>
        <w:tc>
          <w:tcPr>
            <w:tcW w:w="2476" w:type="dxa"/>
            <w:shd w:fill="F3F7F9"/>
            <w:vAlign w:val="top"/>
          </w:tcPr>
          <w:p>
            <w:pPr>
              <w:pStyle w:val="Compact"/>
              <w:keepLines/>
              <w:widowControl/>
              <w:spacing w:before="0" w:after="40" w:line="240" w:lineRule="auto"/>
              <w:jc w:val="center"/>
            </w:pPr>
            <ns5:oMath>
              <ns5:r>
                <ns5:rPr>
                  <ns5:nor/>
                  <ns5:sty ns5:val="p"/>
                </ns5:rPr>
                <ns5:t>SE</ns5:t>
              </ns5:r>
              <ns5:r>
                <ns5:rPr>
                  <ns5:sty ns5:val="p"/>
                </ns5:rPr>
                <ns5:t>=</ns5:t>
              </ns5:r>
              <ns5:r>
                <ns5:t>σ</ns5:t>
              </ns5:r>
              <ns5:r>
                <ns5:rPr>
                  <ns5:sty ns5:val="p"/>
                </ns5:rPr>
                <ns5:t>/</ns5:t>
              </ns5:r>
              <ns5:rad>
                <ns5:radPr>
                  <ns5:degHide ns5:val="on"/>
                </ns5:radPr>
                <ns5:deg/>
                <ns5:e>
                  <ns5:r>
                    <ns5:t>n</ns5:t>
                  </ns5:r>
                </ns5:e>
              </ns5:rad>
            </ns5:oMath>
          </w:p>
        </w:tc>
        <w:tc>
          <w:tcPr>
            <w:tcW w:w="4191" w:type="dxa"/>
            <w:shd w:fill="F3F7F9"/>
            <w:vAlign w:val="top"/>
          </w:tcPr>
          <w:p>
            <w:pPr>
              <w:pStyle w:val="Compact"/>
              <w:keepLines/>
              <w:widowControl/>
              <w:spacing w:before="0" w:after="40" w:line="240" w:lineRule="auto"/>
              <w:jc w:val="center"/>
            </w:pPr>
            <w:r>
              <w:rPr>
                <w:sz w:val="20"/>
                <w:szCs w:val="20"/>
              </w:rPr>
              <w:t xml:space="preserve">Saktësia e mesatares së kampionit</w:t>
            </w:r>
          </w:p>
        </w:tc>
      </w:tr>
      <w:tr>
        <w:trPr>
          <w:cantSplit/>
        </w:trPr>
        <w:tc>
          <w:tcPr>
            <w:tcW w:w="2857" w:type="dxa"/>
            <w:shd w:fill="FFFFFF"/>
            <w:vAlign w:val="top"/>
          </w:tcPr>
          <w:p>
            <w:pPr>
              <w:pStyle w:val="Compact"/>
              <w:keepLines/>
              <w:widowControl/>
              <w:spacing w:before="0" w:after="40" w:line="240" w:lineRule="auto"/>
              <w:jc w:val="center"/>
            </w:pPr>
            <w:r>
              <w:rPr>
                <w:sz w:val="20"/>
                <w:szCs w:val="20"/>
              </w:rPr>
              <w:t xml:space="preserve">Teorema e kufirit qendror</w:t>
            </w:r>
          </w:p>
        </w:tc>
        <w:tc>
          <w:tcPr>
            <w:tcW w:w="2476" w:type="dxa"/>
            <w:shd w:fill="FFFFFF"/>
            <w:vAlign w:val="top"/>
          </w:tcPr>
          <w:p>
            <w:pPr>
              <w:pStyle w:val="Compact"/>
              <w:keepLines/>
              <w:widowControl/>
              <w:spacing w:before="0" w:after="40" w:line="240" w:lineRule="auto"/>
              <w:jc w:val="center"/>
            </w:pPr>
            <ns5:oMath>
              <ns5:acc>
                <ns5:accPr>
                  <ns5:chr ns5:val="‾"/>
                </ns5:accPr>
                <ns5:e>
                  <ns5:r>
                    <ns5:t>X</ns5:t>
                  </ns5:r>
                </ns5:e>
              </ns5:acc>
              <ns5:r>
                <ns5:rPr>
                  <ns5:sty ns5:val="p"/>
                </ns5:rPr>
                <ns5:t>≈</ns5:t>
              </ns5:r>
              <ns5:r>
                <ns5:t>N</ns5:t>
              </ns5:r>
              <ns5:d>
                <ns5:dPr>
                  <ns5:begChr ns5:val="("/>
                  <ns5:sepChr ns5:val=""/>
                  <ns5:endChr ns5:val=")"/>
                  <ns5:grow/>
                </ns5:dPr>
                <ns5:e>
                  <ns5:r>
                    <ns5:t>μ</ns5:t>
                  </ns5:r>
                  <ns5:r>
                    <ns5:rPr>
                      <ns5:sty ns5:val="p"/>
                    </ns5:rPr>
                    <ns5:t>,</ns5:t>
                  </ns5:r>
                  <ns5:sSup>
                    <ns5:e>
                      <ns5:r>
                        <ns5:t>σ</ns5:t>
                      </ns5:r>
                    </ns5:e>
                    <ns5:sup>
                      <ns5:r>
                        <ns5:t>2</ns5:t>
                      </ns5:r>
                    </ns5:sup>
                  </ns5:sSup>
                  <ns5:r>
                    <ns5:rPr>
                      <ns5:sty ns5:val="p"/>
                    </ns5:rPr>
                    <ns5:t>/</ns5:t>
                  </ns5:r>
                  <ns5:r>
                    <ns5:t>n</ns5:t>
                  </ns5:r>
                </ns5:e>
              </ns5:d>
            </ns5:oMath>
            <w:r>
              <w:rPr>
                <w:sz w:val="20"/>
                <w:szCs w:val="20"/>
              </w:rPr>
              <w:t xml:space="preserve"> </w:t>
            </w:r>
            <w:r>
              <w:rPr>
                <w:sz w:val="20"/>
                <w:szCs w:val="20"/>
              </w:rPr>
              <w:t xml:space="preserve">për</w:t>
            </w:r>
            <w:r>
              <w:rPr>
                <w:sz w:val="20"/>
                <w:szCs w:val="20"/>
              </w:rPr>
              <w:t xml:space="preserve"> </w:t>
            </w:r>
            <ns5:oMath>
              <ns5:r>
                <ns5:t>n</ns5:t>
              </ns5:r>
            </ns5:oMath>
            <w:r>
              <w:rPr>
                <w:sz w:val="20"/>
                <w:szCs w:val="20"/>
              </w:rPr>
              <w:t xml:space="preserve"> </w:t>
            </w:r>
            <w:r>
              <w:rPr>
                <w:sz w:val="20"/>
                <w:szCs w:val="20"/>
              </w:rPr>
              <w:t xml:space="preserve">të madh</w:t>
            </w:r>
          </w:p>
        </w:tc>
        <w:tc>
          <w:tcPr>
            <w:tcW w:w="4191" w:type="dxa"/>
            <w:shd w:fill="FFFFFF"/>
            <w:vAlign w:val="top"/>
          </w:tcPr>
          <w:p>
            <w:pPr>
              <w:pStyle w:val="Compact"/>
              <w:keepLines/>
              <w:widowControl/>
              <w:spacing w:before="0" w:after="40" w:line="240" w:lineRule="auto"/>
              <w:jc w:val="center"/>
            </w:pPr>
            <w:r>
              <w:rPr>
                <w:sz w:val="20"/>
                <w:szCs w:val="20"/>
              </w:rPr>
              <w:t xml:space="preserve">Mesataret e kampioneve janë afërsisht normale</w:t>
            </w:r>
          </w:p>
        </w:tc>
      </w:tr>
    </w:tbl>
    <w:bookmarkEnd w:id="34"/>
    <w:p/>
    <w:bookmarkEnd w:id="35"/>
    <w:bookmarkEnd w:id="36"/>
    <w:bookmarkStart w:id="47" w:name="referencë-e-zgjeruar"/>
    <w:p>
      <w:pPr>
        <w:pStyle w:val="Heading1"/>
        <w:pageBreakBefore/>
      </w:pPr>
      <w:r>
        <w:t xml:space="preserve">Referencë e zgjeruar</w:t>
      </w:r>
    </w:p>
    <w:bookmarkStart w:id="37" w:name="qëllimi-dhe-bazat"/>
    <w:p>
      <w:pPr>
        <w:pStyle w:val="Heading2"/>
      </w:pPr>
      <w:r>
        <w:t xml:space="preserve">Qëllimi dhe bazat</w:t>
      </w:r>
    </w:p>
    <w:p>
      <w:pPr>
        <w:pStyle w:val="FirstParagraph"/>
      </w:pPr>
      <w:r>
        <w:t xml:space="preserve">Probabiliteti ofron një gjuhë për situatat në të cilat rezultati nuk dihet paraprakisht.</w:t>
      </w:r>
      <w:r>
        <w:t xml:space="preserve"> </w:t>
      </w:r>
      <w:r>
        <w:rPr>
          <w:b/>
          <w:bCs/>
        </w:rPr>
        <w:t xml:space="preserve">Hapësira e rezultateve</w:t>
      </w:r>
      <w:r>
        <w:t xml:space="preserve">, që zakonisht shënohet me</w:t>
      </w:r>
      <w:r>
        <w:t xml:space="preserve"> </w:t>
      </w:r>
      <ns5:oMath>
        <ns5:r>
          <ns5:t>Ω</ns5:t>
        </ns5:r>
      </ns5:oMath>
      <w:r>
        <w:t xml:space="preserve">, është bashkësia e të gjitha rezultateve të mundshme që po shqyrtohen. Një</w:t>
      </w:r>
      <w:r>
        <w:t xml:space="preserve"> </w:t>
      </w:r>
      <w:r>
        <w:rPr>
          <w:b/>
          <w:bCs/>
        </w:rPr>
        <w:t xml:space="preserve">ngjarje</w:t>
      </w:r>
      <w:r>
        <w:t xml:space="preserve"> </w:t>
      </w:r>
      <w:r>
        <w:t xml:space="preserve">është një grup rezultatesh nga kjo hapësirë. Çdo rezultat i vetëm ose i përket ngjarjes, ose nuk i përket. Kjo mënyrë e të menduarit përmes bashkësive ka rëndësi, sepse rregullat e probabilitetit veprojnë fillimisht mbi ngjarjet dhe vetëm pastaj mbi numrat.</w:t>
      </w:r>
    </w:p>
    <w:p>
      <w:pPr>
        <w:pStyle w:val="BodyText"/>
      </w:pPr>
      <w:r>
        <w:t xml:space="preserve">Përfytyro se zgjedh një pllakë të shënuar me një numër nga 1 deri në 10. Hapësira e rezultateve është</w:t>
      </w:r>
      <w:r>
        <w:t xml:space="preserve"> </w:t>
      </w:r>
      <ns5:oMath>
        <ns5:r>
          <ns5:t>Ω</ns5:t>
        </ns5:r>
        <ns5:r>
          <ns5:rPr>
            <ns5:sty ns5:val="p"/>
          </ns5:rPr>
          <ns5:t>=</ns5:t>
        </ns5:r>
        <ns5:r>
          <ns5:rPr>
            <ns5:sty ns5:val="p"/>
          </ns5:rPr>
          <ns5:t>{</ns5:t>
        </ns5:r>
        <ns5:r>
          <ns5:t>1</ns5:t>
        </ns5:r>
        <ns5:r>
          <ns5:rPr>
            <ns5:sty ns5:val="p"/>
          </ns5:rPr>
          <ns5:t>,</ns5:t>
        </ns5:r>
        <ns5:r>
          <ns5:t>2</ns5:t>
        </ns5:r>
        <ns5:r>
          <ns5:rPr>
            <ns5:sty ns5:val="p"/>
          </ns5:rPr>
          <ns5:t>,</ns5:t>
        </ns5:r>
        <ns5:r>
          <ns5:rPr>
            <ns5:sty ns5:val="p"/>
          </ns5:rPr>
          <ns5:t>…</ns5:t>
        </ns5:r>
        <ns5:r>
          <ns5:rPr>
            <ns5:sty ns5:val="p"/>
          </ns5:rPr>
          <ns5:t>,</ns5:t>
        </ns5:r>
        <ns5:r>
          <ns5:t>10</ns5:t>
        </ns5:r>
        <ns5:r>
          <ns5:rPr>
            <ns5:sty ns5:val="p"/>
          </ns5:rPr>
          <ns5:t>}</ns5:t>
        </ns5:r>
      </ns5:oMath>
      <w:r>
        <w:t xml:space="preserve">. Ngjarja</w:t>
      </w:r>
      <w:r>
        <w:t xml:space="preserve"> </w:t>
      </w:r>
      <ns5:oMath>
        <ns5:r>
          <ns5:t>A</ns5:t>
        </ns5:r>
      </ns5:oMath>
      <w:r>
        <w:t xml:space="preserve"> </w:t>
      </w:r>
      <w:r>
        <w:t xml:space="preserve">mund të përmbajë pllakat 1, 2 dhe 3, ndërsa ngjarja</w:t>
      </w:r>
      <w:r>
        <w:t xml:space="preserve"> </w:t>
      </w:r>
      <ns5:oMath>
        <ns5:r>
          <ns5:t>D</ns5:t>
        </ns5:r>
      </ns5:oMath>
      <w:r>
        <w:t xml:space="preserve"> </w:t>
      </w:r>
      <w:r>
        <w:t xml:space="preserve">përmban pllakat 2, 3 dhe 7. Probabiliteti i cakton çdo ngjarjeje një numër nga 0 deri në 1. Zero do të thotë se ngjarja nuk mund të ndodhë brenda hapësirës së përcaktuar. Një do të thotë se ajo duhet të ndodhë. Vlerat mes zeros dhe njëshit shprehin shkallë pasigurie sipas modelit që po përdoret.</w:t>
      </w:r>
    </w:p>
    <w:p>
      <w:pPr>
        <w:pStyle w:val="BodyText"/>
      </w:pPr>
      <w:r>
        <w:t xml:space="preserve">Probabilitetit mund t’i afrohesh përmes rezultateve njësoj të mundshme, frekuencave relative në afat të gjatë ose një modeli të deklaruar. Në secilën qasje, përkufizo procesin dhe hapësirën e rezultateve para se të llogaritësh. Probabiliteti nuk ndahet kurrë nga kushtet e tij. Mundësia e një ngjarjeje mund të ndryshojë kur merr informacion të ri, kur ndryshon mekanizmi i përzgjedhjes ose kur ndryshon popullata për të cilën po flitet.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238"/>
        <w:gridCol w:w="2571"/>
        <w:gridCol w:w="3715"/>
      </w:tblGrid>
      <w:tr>
        <w:trPr>
          <w:cantSplit/>
          <w:tblHeader w:val="on"/>
        </w:trPr>
        <w:tc>
          <w:tcPr>
            <w:tcW w:w="3238" w:type="dxa"/>
            <w:shd w:fill="EAF2F6"/>
            <w:vAlign w:val="center"/>
          </w:tcPr>
          <w:p>
            <w:pPr>
              <w:pStyle w:val="Compact"/>
              <w:keepLines/>
              <w:widowControl/>
              <w:spacing w:before="0" w:after="40" w:line="240" w:lineRule="auto"/>
              <w:jc w:val="left"/>
            </w:pPr>
            <w:r>
              <w:rPr>
                <w:b/>
                <w:color w:val="183B56"/>
                <w:sz w:val="20"/>
                <w:szCs w:val="20"/>
              </w:rPr>
              <w:t xml:space="preserve">Ideja e bashkësisë</w:t>
            </w:r>
          </w:p>
        </w:tc>
        <w:tc>
          <w:tcPr>
            <w:tcW w:w="2571" w:type="dxa"/>
            <w:shd w:fill="EAF2F6"/>
            <w:vAlign w:val="center"/>
          </w:tcPr>
          <w:p>
            <w:pPr>
              <w:pStyle w:val="Compact"/>
              <w:keepLines/>
              <w:widowControl/>
              <w:spacing w:before="0" w:after="40" w:line="240" w:lineRule="auto"/>
              <w:jc w:val="left"/>
            </w:pPr>
            <w:r>
              <w:rPr>
                <w:b/>
                <w:color w:val="183B56"/>
                <w:sz w:val="20"/>
                <w:szCs w:val="20"/>
              </w:rPr>
              <w:t xml:space="preserve">Shënimi</w:t>
            </w:r>
          </w:p>
        </w:tc>
        <w:tc>
          <w:tcPr>
            <w:tcW w:w="3715" w:type="dxa"/>
            <w:shd w:fill="EAF2F6"/>
            <w:vAlign w:val="center"/>
          </w:tcPr>
          <w:p>
            <w:pPr>
              <w:pStyle w:val="Compact"/>
              <w:keepLines/>
              <w:widowControl/>
              <w:spacing w:before="0" w:after="40" w:line="240" w:lineRule="auto"/>
              <w:jc w:val="left"/>
            </w:pPr>
            <w:r>
              <w:rPr>
                <w:b/>
                <w:color w:val="183B56"/>
                <w:sz w:val="20"/>
                <w:szCs w:val="20"/>
              </w:rPr>
              <w:t xml:space="preserve">Kuptimi me fjalë</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Bashkimi</w:t>
            </w:r>
          </w:p>
        </w:tc>
        <w:tc>
          <w:tcPr>
            <w:tcW w:w="2571" w:type="dxa"/>
            <w:shd w:fill="F3F7F9"/>
            <w:vAlign w:val="top"/>
          </w:tcPr>
          <w:p>
            <w:pPr>
              <w:pStyle w:val="Compact"/>
              <w:keepLines/>
              <w:widowControl/>
              <w:spacing w:before="0" w:after="40" w:line="240" w:lineRule="auto"/>
              <w:jc w:val="left"/>
            </w:pPr>
            <ns5:oMath>
              <ns5:r>
                <ns5:t>A</ns5:t>
              </ns5:r>
              <ns5:r>
                <ns5:rPr>
                  <ns5:sty ns5:val="p"/>
                </ns5:rPr>
                <ns5:t>∪</ns5:t>
              </ns5:r>
              <ns5:r>
                <ns5:t>D</ns5:t>
              </ns5:r>
            </ns5:oMath>
          </w:p>
        </w:tc>
        <w:tc>
          <w:tcPr>
            <w:tcW w:w="3715" w:type="dxa"/>
            <w:shd w:fill="F3F7F9"/>
            <w:vAlign w:val="top"/>
          </w:tcPr>
          <w:p>
            <w:pPr>
              <w:pStyle w:val="Compact"/>
              <w:keepLines/>
              <w:widowControl/>
              <w:spacing w:before="0" w:after="40" w:line="240" w:lineRule="auto"/>
              <w:jc w:val="left"/>
            </w:pPr>
            <w:r>
              <w:rPr>
                <w:sz w:val="20"/>
                <w:szCs w:val="20"/>
              </w:rPr>
              <w:t xml:space="preserve">Rezultatet në</w:t>
            </w:r>
            <w:r>
              <w:rPr>
                <w:sz w:val="20"/>
                <w:szCs w:val="20"/>
              </w:rPr>
              <w:t xml:space="preserve"> </w:t>
            </w:r>
            <ns5:oMath>
              <ns5:r>
                <ns5:t>A</ns5:t>
              </ns5:r>
            </ns5:oMath>
            <w:r>
              <w:rPr>
                <w:sz w:val="20"/>
                <w:szCs w:val="20"/>
              </w:rPr>
              <w:t xml:space="preserve">, në</w:t>
            </w:r>
            <w:r>
              <w:rPr>
                <w:sz w:val="20"/>
                <w:szCs w:val="20"/>
              </w:rPr>
              <w:t xml:space="preserve"> </w:t>
            </w:r>
            <ns5:oMath>
              <ns5:r>
                <ns5:t>D</ns5:t>
              </ns5:r>
            </ns5:oMath>
            <w:r>
              <w:rPr>
                <w:sz w:val="20"/>
                <w:szCs w:val="20"/>
              </w:rPr>
              <w:t xml:space="preserve"> </w:t>
            </w:r>
            <w:r>
              <w:rPr>
                <w:sz w:val="20"/>
                <w:szCs w:val="20"/>
              </w:rPr>
              <w:t xml:space="preserve">ose në të dyja</w:t>
            </w:r>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Prerja</w:t>
            </w:r>
          </w:p>
        </w:tc>
        <w:tc>
          <w:tcPr>
            <w:tcW w:w="2571" w:type="dxa"/>
            <w:shd w:fill="FFFFFF"/>
            <w:vAlign w:val="top"/>
          </w:tcPr>
          <w:p>
            <w:pPr>
              <w:pStyle w:val="Compact"/>
              <w:keepLines/>
              <w:widowControl/>
              <w:spacing w:before="0" w:after="40" w:line="240" w:lineRule="auto"/>
              <w:jc w:val="left"/>
            </w:pPr>
            <ns5:oMath>
              <ns5:r>
                <ns5:t>A</ns5:t>
              </ns5:r>
              <ns5:r>
                <ns5:rPr>
                  <ns5:sty ns5:val="p"/>
                </ns5:rPr>
                <ns5:t>∩</ns5:t>
              </ns5:r>
              <ns5:r>
                <ns5:t>D</ns5:t>
              </ns5:r>
            </ns5:oMath>
          </w:p>
        </w:tc>
        <w:tc>
          <w:tcPr>
            <w:tcW w:w="3715" w:type="dxa"/>
            <w:shd w:fill="FFFFFF"/>
            <w:vAlign w:val="top"/>
          </w:tcPr>
          <w:p>
            <w:pPr>
              <w:pStyle w:val="Compact"/>
              <w:keepLines/>
              <w:widowControl/>
              <w:spacing w:before="0" w:after="40" w:line="240" w:lineRule="auto"/>
              <w:jc w:val="left"/>
            </w:pPr>
            <w:r>
              <w:rPr>
                <w:sz w:val="20"/>
                <w:szCs w:val="20"/>
              </w:rPr>
              <w:t xml:space="preserve">Rezultatet që u përkasin njëkohësisht</w:t>
            </w:r>
            <w:r>
              <w:rPr>
                <w:sz w:val="20"/>
                <w:szCs w:val="20"/>
              </w:rPr>
              <w:t xml:space="preserve"> </w:t>
            </w:r>
            <ns5:oMath>
              <ns5:r>
                <ns5:t>A</ns5:t>
              </ns5:r>
            </ns5:oMath>
            <w:r>
              <w:rPr>
                <w:sz w:val="20"/>
                <w:szCs w:val="20"/>
              </w:rPr>
              <w:t xml:space="preserve"> </w:t>
            </w:r>
            <w:r>
              <w:rPr>
                <w:sz w:val="20"/>
                <w:szCs w:val="20"/>
              </w:rPr>
              <w:t xml:space="preserve">dhe</w:t>
            </w:r>
            <w:r>
              <w:rPr>
                <w:sz w:val="20"/>
                <w:szCs w:val="20"/>
              </w:rPr>
              <w:t xml:space="preserve"> </w:t>
            </w:r>
            <ns5:oMath>
              <ns5:r>
                <ns5:t>D</ns5:t>
              </ns5:r>
            </ns5:oMath>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Plotësuesja</w:t>
            </w:r>
          </w:p>
        </w:tc>
        <w:tc>
          <w:tcPr>
            <w:tcW w:w="2571" w:type="dxa"/>
            <w:shd w:fill="F3F7F9"/>
            <w:vAlign w:val="top"/>
          </w:tcPr>
          <w:p>
            <w:pPr>
              <w:pStyle w:val="Compact"/>
              <w:keepLines/>
              <w:widowControl/>
              <w:spacing w:before="0" w:after="40" w:line="240" w:lineRule="auto"/>
              <w:jc w:val="left"/>
            </w:pPr>
            <ns5:oMath>
              <ns5:sSup>
                <ns5:e>
                  <ns5:r>
                    <ns5:t>A</ns5:t>
                  </ns5:r>
                </ns5:e>
                <ns5:sup>
                  <ns5:r>
                    <ns5:t>c</ns5:t>
                  </ns5:r>
                </ns5:sup>
              </ns5:sSup>
            </ns5:oMath>
          </w:p>
        </w:tc>
        <w:tc>
          <w:tcPr>
            <w:tcW w:w="3715" w:type="dxa"/>
            <w:shd w:fill="F3F7F9"/>
            <w:vAlign w:val="top"/>
          </w:tcPr>
          <w:p>
            <w:pPr>
              <w:pStyle w:val="Compact"/>
              <w:keepLines/>
              <w:widowControl/>
              <w:spacing w:before="0" w:after="40" w:line="240" w:lineRule="auto"/>
              <w:jc w:val="left"/>
            </w:pPr>
            <w:r>
              <w:rPr>
                <w:sz w:val="20"/>
                <w:szCs w:val="20"/>
              </w:rPr>
              <w:t xml:space="preserve">Rezultatet në hapësirën e rezultateve që nuk janë në</w:t>
            </w:r>
            <w:r>
              <w:rPr>
                <w:sz w:val="20"/>
                <w:szCs w:val="20"/>
              </w:rPr>
              <w:t xml:space="preserve"> </w:t>
            </w:r>
            <ns5:oMath>
              <ns5:r>
                <ns5:t>A</ns5:t>
              </ns5:r>
            </ns5:oMath>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Ngjarje të papajtueshme</w:t>
            </w:r>
          </w:p>
        </w:tc>
        <w:tc>
          <w:tcPr>
            <w:tcW w:w="2571" w:type="dxa"/>
            <w:shd w:fill="FFFFFF"/>
            <w:vAlign w:val="top"/>
          </w:tcPr>
          <w:p>
            <w:pPr>
              <w:pStyle w:val="Compact"/>
              <w:keepLines/>
              <w:widowControl/>
              <w:spacing w:before="0" w:after="40" w:line="240" w:lineRule="auto"/>
              <w:jc w:val="left"/>
            </w:pPr>
            <ns5:oMath>
              <ns5:r>
                <ns5:t>A</ns5:t>
              </ns5:r>
              <ns5:r>
                <ns5:rPr>
                  <ns5:sty ns5:val="p"/>
                </ns5:rPr>
                <ns5:t>∩</ns5:t>
              </ns5:r>
              <ns5:r>
                <ns5:t>B</ns5:t>
              </ns5:r>
              <ns5:r>
                <ns5:rPr>
                  <ns5:sty ns5:val="p"/>
                </ns5:rPr>
                <ns5:t>=</ns5:t>
              </ns5:r>
              <ns5:r>
                <ns5:rPr>
                  <ns5:sty ns5:val="p"/>
                </ns5:rPr>
                <ns5:t>⌀</ns5:t>
              </ns5:r>
            </ns5:oMath>
          </w:p>
        </w:tc>
        <w:tc>
          <w:tcPr>
            <w:tcW w:w="3715" w:type="dxa"/>
            <w:shd w:fill="FFFFFF"/>
            <w:vAlign w:val="top"/>
          </w:tcPr>
          <w:p>
            <w:pPr>
              <w:pStyle w:val="Compact"/>
              <w:keepLines/>
              <w:widowControl/>
              <w:spacing w:before="0" w:after="40" w:line="240" w:lineRule="auto"/>
              <w:jc w:val="left"/>
            </w:pPr>
            <w:r>
              <w:rPr>
                <w:sz w:val="20"/>
                <w:szCs w:val="20"/>
              </w:rPr>
              <w:t xml:space="preserve">Ngjarje pa asnjë rezultat të përbashkët</w:t>
            </w:r>
          </w:p>
        </w:tc>
      </w:tr>
    </w:tbl>
    <w:bookmarkEnd w:id="37"/>
    <w:bookmarkStart w:id="38" w:name="idetë-kryesore"/>
    <w:p>
      <w:pPr>
        <w:pStyle w:val="Heading2"/>
      </w:pPr>
      <w:r>
        <w:t xml:space="preserve">Idetë kryesore</w:t>
      </w:r>
    </w:p>
    <w:p>
      <w:pPr>
        <w:pStyle w:val="FirstParagraph"/>
      </w:pPr>
      <w:r>
        <w:t xml:space="preserve">Rregulli i plotësueses është i dobishëm kur ngjarja e kundërt numërohet më lehtë. Rregulli i mbledhjes parandalon numërimin dy herë të pjesës së përbashkët të dy ngjarjeve. Probabiliteti i kushtëzuar e ngushton grupin referues:</w:t>
      </w:r>
      <w:r>
        <w:t xml:space="preserve"> </w:t>
      </w:r>
      <ns5:oMath>
        <ns5:r>
          <ns5:t>P</ns5:t>
        </ns5:r>
        <ns5:d>
          <ns5:dPr>
            <ns5:begChr ns5:val="("/>
            <ns5:sepChr ns5:val=""/>
            <ns5:endChr ns5:val=")"/>
            <ns5:grow/>
          </ns5:dPr>
          <ns5:e>
            <ns5:r>
              <ns5:t>A</ns5:t>
            </ns5:r>
            <ns5:r>
              <ns5:rPr>
                <ns5:sty ns5:val="p"/>
              </ns5:rPr>
              <ns5:t>∣</ns5:t>
            </ns5:r>
            <ns5:r>
              <ns5:t>D</ns5:t>
            </ns5:r>
          </ns5:e>
        </ns5:d>
      </ns5:oMath>
      <w:r>
        <w:t xml:space="preserve"> </w:t>
      </w:r>
      <w:r>
        <w:t xml:space="preserve">pyet për probabilitetin e</w:t>
      </w:r>
      <w:r>
        <w:t xml:space="preserve"> </w:t>
      </w:r>
      <ns5:oMath>
        <ns5:r>
          <ns5:t>A</ns5:t>
        </ns5:r>
      </ns5:oMath>
      <w:r>
        <w:t xml:space="preserve"> </w:t>
      </w:r>
      <w:r>
        <w:t xml:space="preserve">mes situatave në të cilat dihet se ka ndodhur</w:t>
      </w:r>
      <w:r>
        <w:t xml:space="preserve"> </w:t>
      </w:r>
      <ns5:oMath>
        <ns5:r>
          <ns5:t>D</ns5:t>
        </ns5:r>
      </ns5:oMath>
      <w:r>
        <w:t xml:space="preserve">. Vija vertikale lexohet «duke qenë se». Prandaj emëruesi është probabiliteti i kushtit dhe jo probabiliteti i të gjithë hapësirës së rezultateve.</w:t>
      </w:r>
    </w:p>
    <w:p>
      <w:pPr>
        <w:pStyle w:val="BodyText"/>
      </w:pPr>
      <w:r>
        <w:t xml:space="preserve">Pavarësia ka një kuptim të saktë. Ngjarjet</w:t>
      </w:r>
      <w:r>
        <w:t xml:space="preserve"> </w:t>
      </w:r>
      <ns5:oMath>
        <ns5:r>
          <ns5:t>A</ns5:t>
        </ns5:r>
      </ns5:oMath>
      <w:r>
        <w:t xml:space="preserve"> </w:t>
      </w:r>
      <w:r>
        <w:t xml:space="preserve">dhe</w:t>
      </w:r>
      <w:r>
        <w:t xml:space="preserve"> </w:t>
      </w:r>
      <ns5:oMath>
        <ns5:r>
          <ns5:t>D</ns5:t>
        </ns5:r>
      </ns5:oMath>
      <w:r>
        <w:t xml:space="preserve"> </w:t>
      </w:r>
      <w:r>
        <w:t xml:space="preserve">janë të pavarura kur dijenia se ka ndodhur</w:t>
      </w:r>
      <w:r>
        <w:t xml:space="preserve"> </w:t>
      </w:r>
      <ns5:oMath>
        <ns5:r>
          <ns5:t>D</ns5:t>
        </ns5:r>
      </ns5:oMath>
      <w:r>
        <w:t xml:space="preserve"> </w:t>
      </w:r>
      <w:r>
        <w:t xml:space="preserve">nuk e ndryshon probabilitetin e</w:t>
      </w:r>
      <w:r>
        <w:t xml:space="preserve"> </w:t>
      </w:r>
      <ns5:oMath>
        <ns5:r>
          <ns5:t>A</ns5:t>
        </ns5:r>
      </ns5:oMath>
      <w:r>
        <w:t xml:space="preserve">. Kjo ndryshon nga të qenët të papajtueshme. Nëse dy ngjarje janë të papajtueshme dhe njëra ndodh, tjetra nuk mund të ndodhë, kështu që ky informacion ia ndryshon probabilitetin. Përveç rasteve të veçanta me probabilitet zero, ngjarjet e papajtueshme nuk janë të pavarura.</w:t>
      </w:r>
    </w:p>
    <w:p>
      <w:pPr>
        <w:pStyle w:val="BodyText"/>
      </w:pPr>
      <w:r>
        <w:t xml:space="preserve">Teorema e Bayes-it e kthen drejtimin e një probabiliteti të kushtëzuar. Ajo ndërthur probabilitetin e një rezultati nën një kusht me shpeshtësinë paraprake të atij kushti. Normat bazë kanë rëndësi: edhe një rezultat që paraqitet më shpesh në një grup mund të shoqërohet me një probabilitet modest të përkatësisë në atë grup kur grupi është i rrallë. Shkruaje çdo ngjarje me fjalë para se të vendosësh numrat, në mënyrë që drejtimi i kushtit të mbetet i dukshëm.</w:t>
      </w:r>
    </w:p>
    <w:p>
      <w:pPr>
        <w:pStyle w:val="BodyText"/>
      </w:pPr>
      <w:r>
        <w:t xml:space="preserve">Një</w:t>
      </w:r>
      <w:r>
        <w:t xml:space="preserve"> </w:t>
      </w:r>
      <w:r>
        <w:rPr>
          <w:b/>
          <w:bCs/>
        </w:rPr>
        <w:t xml:space="preserve">ndryshore e rastësishme</w:t>
      </w:r>
      <w:r>
        <w:t xml:space="preserve"> </w:t>
      </w:r>
      <w:r>
        <w:t xml:space="preserve">i cakton një vlerë numerike çdo rezultati të një procesi rastësor. Një ndryshore e rastësishme diskrete ka vlera të ndara që mund të numërohen, si numri i përgjigjeve me ankth të lartë në një grup. Një ndryshore e rastësishme e vazhdueshme mund të marrë vlera në një interval, si një pikëzim i matur. Funksioni i masës së probabilitetit për një ndryshore diskrete u cakton probabilitet vlerave të veçanta. Dendësia e probabilitetit për një ndryshore të vazhdueshme përshkruan si shpërndahet probabiliteti nëpër intervale; probabiliteti i një intervali përfaqësohet nga sipërfaqja nën lakoren e dendësisë.</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667"/>
        <w:gridCol w:w="3524"/>
        <w:gridCol w:w="3333"/>
      </w:tblGrid>
      <w:tr>
        <w:trPr>
          <w:cantSplit/>
          <w:tblHeader w:val="on"/>
        </w:trPr>
        <w:tc>
          <w:tcPr>
            <w:tcW w:w="2667" w:type="dxa"/>
            <w:shd w:fill="EAF2F6"/>
            <w:vAlign w:val="center"/>
          </w:tcPr>
          <w:p>
            <w:pPr>
              <w:pStyle w:val="Compact"/>
              <w:keepLines/>
              <w:widowControl/>
              <w:spacing w:before="0" w:after="40" w:line="240" w:lineRule="auto"/>
              <w:jc w:val="left"/>
            </w:pPr>
            <w:r>
              <w:rPr>
                <w:b/>
                <w:color w:val="183B56"/>
                <w:sz w:val="20"/>
                <w:szCs w:val="20"/>
              </w:rPr>
              <w:t xml:space="preserve">Modeli ose ideja</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Çfarë përshkruan</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Pyetja kryesore gjatë leximit</w:t>
            </w:r>
          </w:p>
        </w:tc>
      </w:tr>
      <w:tr>
        <w:trPr>
          <w:cantSplit/>
        </w:trPr>
        <w:tc>
          <w:tcPr>
            <w:tcW w:w="2667" w:type="dxa"/>
            <w:shd w:fill="F3F7F9"/>
            <w:vAlign w:val="top"/>
          </w:tcPr>
          <w:p>
            <w:pPr>
              <w:pStyle w:val="Compact"/>
              <w:keepLines/>
              <w:widowControl/>
              <w:spacing w:before="0" w:after="40" w:line="240" w:lineRule="auto"/>
              <w:jc w:val="left"/>
            </w:pPr>
            <w:r>
              <w:rPr>
                <w:sz w:val="20"/>
                <w:szCs w:val="20"/>
              </w:rPr>
              <w:t xml:space="preserve">Shpërndarja binomiale</w:t>
            </w:r>
          </w:p>
        </w:tc>
        <w:tc>
          <w:tcPr>
            <w:tcW w:w="3524" w:type="dxa"/>
            <w:shd w:fill="F3F7F9"/>
            <w:vAlign w:val="top"/>
          </w:tcPr>
          <w:p>
            <w:pPr>
              <w:pStyle w:val="Compact"/>
              <w:keepLines/>
              <w:widowControl/>
              <w:spacing w:before="0" w:after="40" w:line="240" w:lineRule="auto"/>
              <w:jc w:val="left"/>
            </w:pPr>
            <w:r>
              <w:rPr>
                <w:sz w:val="20"/>
                <w:szCs w:val="20"/>
              </w:rPr>
              <w:t xml:space="preserve">Numrin e sukseseve në një numër të fiksuar provash të pavarura me probabilitet të pandryshueshëm suksesi</w:t>
            </w:r>
          </w:p>
        </w:tc>
        <w:tc>
          <w:tcPr>
            <w:tcW w:w="3333" w:type="dxa"/>
            <w:shd w:fill="F3F7F9"/>
            <w:vAlign w:val="top"/>
          </w:tcPr>
          <w:p>
            <w:pPr>
              <w:pStyle w:val="Compact"/>
              <w:keepLines/>
              <w:widowControl/>
              <w:spacing w:before="0" w:after="40" w:line="240" w:lineRule="auto"/>
              <w:jc w:val="left"/>
            </w:pPr>
            <w:r>
              <w:rPr>
                <w:sz w:val="20"/>
                <w:szCs w:val="20"/>
              </w:rPr>
              <w:t xml:space="preserve">A mund të mbrohen numri i provave, dy rezultatet, pavarësia dhe probabiliteti i pandryshueshëm?</w:t>
            </w:r>
          </w:p>
        </w:tc>
      </w:tr>
      <w:tr>
        <w:trPr>
          <w:cantSplit/>
        </w:trPr>
        <w:tc>
          <w:tcPr>
            <w:tcW w:w="2667" w:type="dxa"/>
            <w:shd w:fill="FFFFFF"/>
            <w:vAlign w:val="top"/>
          </w:tcPr>
          <w:p>
            <w:pPr>
              <w:pStyle w:val="Compact"/>
              <w:keepLines/>
              <w:widowControl/>
              <w:spacing w:before="0" w:after="40" w:line="240" w:lineRule="auto"/>
              <w:jc w:val="left"/>
            </w:pPr>
            <w:r>
              <w:rPr>
                <w:sz w:val="20"/>
                <w:szCs w:val="20"/>
              </w:rPr>
              <w:t xml:space="preserve">Shpërndarja normale</w:t>
            </w:r>
          </w:p>
        </w:tc>
        <w:tc>
          <w:tcPr>
            <w:tcW w:w="3524" w:type="dxa"/>
            <w:shd w:fill="FFFFFF"/>
            <w:vAlign w:val="top"/>
          </w:tcPr>
          <w:p>
            <w:pPr>
              <w:pStyle w:val="Compact"/>
              <w:keepLines/>
              <w:widowControl/>
              <w:spacing w:before="0" w:after="40" w:line="240" w:lineRule="auto"/>
              <w:jc w:val="left"/>
            </w:pPr>
            <w:r>
              <w:rPr>
                <w:sz w:val="20"/>
                <w:szCs w:val="20"/>
              </w:rPr>
              <w:t xml:space="preserve">Një model simetrik në formë kambane, i përshkruar nga mesatarja dhe devijimi standard</w:t>
            </w:r>
          </w:p>
        </w:tc>
        <w:tc>
          <w:tcPr>
            <w:tcW w:w="3333" w:type="dxa"/>
            <w:shd w:fill="FFFFFF"/>
            <w:vAlign w:val="top"/>
          </w:tcPr>
          <w:p>
            <w:pPr>
              <w:pStyle w:val="Compact"/>
              <w:keepLines/>
              <w:widowControl/>
              <w:spacing w:before="0" w:after="40" w:line="240" w:lineRule="auto"/>
              <w:jc w:val="left"/>
            </w:pPr>
            <w:r>
              <w:rPr>
                <w:sz w:val="20"/>
                <w:szCs w:val="20"/>
              </w:rPr>
              <w:t xml:space="preserve">A i përshtatet modeli ndryshores dhe pyetjes që po bëhet?</w:t>
            </w:r>
          </w:p>
        </w:tc>
      </w:tr>
      <w:tr>
        <w:trPr>
          <w:cantSplit/>
        </w:trPr>
        <w:tc>
          <w:tcPr>
            <w:tcW w:w="2667" w:type="dxa"/>
            <w:shd w:fill="F3F7F9"/>
            <w:vAlign w:val="top"/>
          </w:tcPr>
          <w:p>
            <w:pPr>
              <w:pStyle w:val="Compact"/>
              <w:keepLines/>
              <w:widowControl/>
              <w:spacing w:before="0" w:after="40" w:line="240" w:lineRule="auto"/>
              <w:jc w:val="left"/>
            </w:pPr>
            <w:r>
              <w:rPr>
                <w:sz w:val="20"/>
                <w:szCs w:val="20"/>
              </w:rPr>
              <w:t xml:space="preserve">Shpërndarja e kampionimit</w:t>
            </w:r>
          </w:p>
        </w:tc>
        <w:tc>
          <w:tcPr>
            <w:tcW w:w="3524" w:type="dxa"/>
            <w:shd w:fill="F3F7F9"/>
            <w:vAlign w:val="top"/>
          </w:tcPr>
          <w:p>
            <w:pPr>
              <w:pStyle w:val="Compact"/>
              <w:keepLines/>
              <w:widowControl/>
              <w:spacing w:before="0" w:after="40" w:line="240" w:lineRule="auto"/>
              <w:jc w:val="left"/>
            </w:pPr>
            <w:r>
              <w:rPr>
                <w:sz w:val="20"/>
                <w:szCs w:val="20"/>
              </w:rPr>
              <w:t xml:space="preserve">Si ndryshon një statistikë nëpër kampione të përsëritura nga i njëjti proces</w:t>
            </w:r>
          </w:p>
        </w:tc>
        <w:tc>
          <w:tcPr>
            <w:tcW w:w="3333" w:type="dxa"/>
            <w:shd w:fill="F3F7F9"/>
            <w:vAlign w:val="top"/>
          </w:tcPr>
          <w:p>
            <w:pPr>
              <w:pStyle w:val="Compact"/>
              <w:keepLines/>
              <w:widowControl/>
              <w:spacing w:before="0" w:after="40" w:line="240" w:lineRule="auto"/>
              <w:jc w:val="left"/>
            </w:pPr>
            <w:r>
              <w:rPr>
                <w:sz w:val="20"/>
                <w:szCs w:val="20"/>
              </w:rPr>
              <w:t xml:space="preserve">Sa pasiguri nga kampioni në kampion duhet pritur?</w:t>
            </w:r>
          </w:p>
        </w:tc>
      </w:tr>
      <w:tr>
        <w:trPr>
          <w:cantSplit/>
        </w:trPr>
        <w:tc>
          <w:tcPr>
            <w:tcW w:w="2667" w:type="dxa"/>
            <w:shd w:fill="FFFFFF"/>
            <w:vAlign w:val="top"/>
          </w:tcPr>
          <w:p>
            <w:pPr>
              <w:pStyle w:val="Compact"/>
              <w:keepLines/>
              <w:widowControl/>
              <w:spacing w:before="0" w:after="40" w:line="240" w:lineRule="auto"/>
              <w:jc w:val="left"/>
            </w:pPr>
            <w:r>
              <w:rPr>
                <w:sz w:val="20"/>
                <w:szCs w:val="20"/>
              </w:rPr>
              <w:t xml:space="preserve">Vlera e pritur</w:t>
            </w:r>
          </w:p>
        </w:tc>
        <w:tc>
          <w:tcPr>
            <w:tcW w:w="3524" w:type="dxa"/>
            <w:shd w:fill="FFFFFF"/>
            <w:vAlign w:val="top"/>
          </w:tcPr>
          <w:p>
            <w:pPr>
              <w:pStyle w:val="Compact"/>
              <w:keepLines/>
              <w:widowControl/>
              <w:spacing w:before="0" w:after="40" w:line="240" w:lineRule="auto"/>
              <w:jc w:val="left"/>
            </w:pPr>
            <w:r>
              <w:rPr>
                <w:sz w:val="20"/>
                <w:szCs w:val="20"/>
              </w:rPr>
              <w:t xml:space="preserve">Qendrën afatgjatë të një ndryshoreje të rastësishme, të peshuar me probabilitet</w:t>
            </w:r>
          </w:p>
        </w:tc>
        <w:tc>
          <w:tcPr>
            <w:tcW w:w="3333" w:type="dxa"/>
            <w:shd w:fill="FFFFFF"/>
            <w:vAlign w:val="top"/>
          </w:tcPr>
          <w:p>
            <w:pPr>
              <w:pStyle w:val="Compact"/>
              <w:keepLines/>
              <w:widowControl/>
              <w:spacing w:before="0" w:after="40" w:line="240" w:lineRule="auto"/>
              <w:jc w:val="left"/>
            </w:pPr>
            <w:r>
              <w:rPr>
                <w:sz w:val="20"/>
                <w:szCs w:val="20"/>
              </w:rPr>
              <w:t xml:space="preserve">Cila mesatare do të shfaqej pas shumë përsëritjesh të modelit?</w:t>
            </w:r>
          </w:p>
        </w:tc>
      </w:tr>
    </w:tbl>
    <w:p>
      <w:pPr>
        <w:pStyle w:val="BodyText"/>
      </w:pPr>
      <w:r>
        <w:t xml:space="preserve">Shpërndarja e kampionimit nuk është shpërndarja e pikëzimeve individuale. Ajo është shpërndarja e një statistike, si mesatarja e kampionit, nëpër kampione të përsëritura hipotetike. Shpërhapja e saj matet me</w:t>
      </w:r>
      <w:r>
        <w:t xml:space="preserve"> </w:t>
      </w:r>
      <w:r>
        <w:rPr>
          <w:b/>
          <w:bCs/>
        </w:rPr>
        <w:t xml:space="preserve">gabimin standard</w:t>
      </w:r>
      <w:r>
        <w:t xml:space="preserve">. Kampionet më të mëdha zakonisht prodhojnë mesatare kampioni më pak të ndryshueshme kur procesi bazë mbetet i njëjtë. Kjo ide e lidh probabilitetin me intervalet e besimit dhe testet e hipotezave.</w:t>
      </w:r>
    </w:p>
    <w:bookmarkEnd w:id="38"/>
    <w:bookmarkStart w:id="39" w:name="udhëzuesi-i-formulave"/>
    <w:p>
      <w:pPr>
        <w:pStyle w:val="Heading2"/>
      </w:pPr>
      <w:r>
        <w:t xml:space="preserve">Udhëzuesi i formulave</w:t>
      </w:r>
    </w:p>
    <w:p>
      <w:pPr>
        <w:pStyle w:val="FirstParagraph"/>
      </w:pPr>
      <w:r>
        <w:t xml:space="preserve">Për çdo ngjarje</w:t>
      </w:r>
      <w:r>
        <w:t xml:space="preserve"> </w:t>
      </w:r>
      <ns5:oMath>
        <ns5:r>
          <ns5:t>A</ns5:t>
        </ns5:r>
      </ns5:oMath>
      <w:r>
        <w:t xml:space="preserve">, plotësuesja e saj përmban të gjitha rezultatet jashtë</w:t>
      </w:r>
      <w:r>
        <w:t xml:space="preserve"> </w:t>
      </w:r>
      <ns5:oMath>
        <ns5:r>
          <ns5:t>A</ns5:t>
        </ns5:r>
      </ns5:oMath>
      <w:r>
        <w:t xml:space="preserve">. Probabilitetet e tyre japin së bashku një:</w:t>
      </w:r>
    </w:p>
    <w:p>
      <w:pPr>
        <w:pStyle w:val="BodyText"/>
      </w:pPr>
      <ns5:oMathPara>
        <ns5:oMathParaPr>
          <ns5:jc ns5:val="center"/>
        </ns5:oMathParaPr>
        <ns5:oMath>
          <ns5:r>
            <ns5:t>P</ns5:t>
          </ns5:r>
          <ns5:d>
            <ns5:dPr>
              <ns5:begChr ns5:val="("/>
              <ns5:sepChr ns5:val=""/>
              <ns5:endChr ns5:val=")"/>
              <ns5:grow/>
            </ns5:dPr>
            <ns5:e>
              <ns5:sSup>
                <ns5:e>
                  <ns5:r>
                    <ns5:t>A</ns5:t>
                  </ns5:r>
                </ns5:e>
                <ns5:sup>
                  <ns5:r>
                    <ns5:t>c</ns5:t>
                  </ns5:r>
                </ns5:sup>
              </ns5:sSup>
            </ns5:e>
          </ns5:d>
          <ns5:r>
            <ns5:rPr>
              <ns5:sty ns5:val="p"/>
            </ns5:rPr>
            <ns5:t>=</ns5:t>
          </ns5:r>
          <ns5:r>
            <ns5:t>1</ns5:t>
          </ns5:r>
          <ns5:r>
            <ns5:rPr>
              <ns5:sty ns5:val="p"/>
            </ns5:rPr>
            <ns5:t>−</ns5:t>
          </ns5:r>
          <ns5:r>
            <ns5:t>P</ns5:t>
          </ns5:r>
          <ns5:d>
            <ns5:dPr>
              <ns5:begChr ns5:val="("/>
              <ns5:sepChr ns5:val=""/>
              <ns5:endChr ns5:val=")"/>
              <ns5:grow/>
            </ns5:dPr>
            <ns5:e>
              <ns5:r>
                <ns5:t>A</ns5:t>
              </ns5:r>
            </ns5:e>
          </ns5:d>
        </ns5:oMath>
      </ns5:oMathPara>
    </w:p>
    <w:p>
      <w:pPr>
        <w:pStyle w:val="FirstParagraph"/>
      </w:pPr>
      <w:r>
        <w:t xml:space="preserve">Për dy ngjarje, mblidhi probabilitetet e tyre dhe zbrite një herë pjesën e përbashkët. Zbritja korrigjon numërimin e dyfishtë që krijohet kur pjesa e përbashkët përfshihet në të dy termat e parë:</w:t>
      </w:r>
    </w:p>
    <w:p>
      <w:pPr>
        <w:pStyle w:val="BodyText"/>
      </w:pPr>
      <ns5:oMathPara>
        <ns5:oMathParaPr>
          <ns5:jc ns5:val="center"/>
        </ns5:oMathParaPr>
        <ns5:oMath>
          <ns5:r>
            <ns5:t>P</ns5:t>
          </ns5:r>
          <ns5:d>
            <ns5:dPr>
              <ns5:begChr ns5:val="("/>
              <ns5:sepChr ns5:val=""/>
              <ns5:endChr ns5:val=")"/>
              <ns5:grow/>
            </ns5:dPr>
            <ns5:e>
              <ns5:r>
                <ns5:t>A</ns5:t>
              </ns5:r>
              <ns5:r>
                <ns5:rPr>
                  <ns5:sty ns5:val="p"/>
                </ns5:rPr>
                <ns5:t>∪</ns5:t>
              </ns5:r>
              <ns5:r>
                <ns5:t>D</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D</ns5:t>
              </ns5:r>
            </ns5:e>
          </ns5:d>
          <ns5:r>
            <ns5:rPr>
              <ns5:sty ns5:val="p"/>
            </ns5:rPr>
            <ns5:t>−</ns5:t>
          </ns5:r>
          <ns5:r>
            <ns5:t>P</ns5:t>
          </ns5:r>
          <ns5:d>
            <ns5:dPr>
              <ns5:begChr ns5:val="("/>
              <ns5:sepChr ns5:val=""/>
              <ns5:endChr ns5:val=")"/>
              <ns5:grow/>
            </ns5:dPr>
            <ns5:e>
              <ns5:r>
                <ns5:t>A</ns5:t>
              </ns5:r>
              <ns5:r>
                <ns5:rPr>
                  <ns5:sty ns5:val="p"/>
                </ns5:rPr>
                <ns5:t>∩</ns5:t>
              </ns5:r>
              <ns5:r>
                <ns5:t>D</ns5:t>
              </ns5:r>
            </ns5:e>
          </ns5:d>
        </ns5:oMath>
      </ns5:oMathPara>
    </w:p>
    <w:p>
      <w:pPr>
        <w:pStyle w:val="FirstParagraph"/>
      </w:pPr>
      <w:r>
        <w:t xml:space="preserve">Nëse ngjarjet janë të papajtueshme, prerja e tyre është boshe dhe termi i pjesës së përbashkët është zero. Mos e përdor rregullin e shkurtuar për ngjarje të papajtueshme para se hapësira e rezultateve të vërtetojë se të dyja ngjarjet nuk mund të ndodhin njëkohësisht.</w:t>
      </w:r>
    </w:p>
    <w:p>
      <w:pPr>
        <w:pStyle w:val="BodyText"/>
      </w:pPr>
      <w:r>
        <w:t xml:space="preserve">Probabiliteti i kushtëzuar e kufizon vëmendjen te kushti</w:t>
      </w:r>
      <w:r>
        <w:t xml:space="preserve"> </w:t>
      </w:r>
      <ns5:oMath>
        <ns5:r>
          <ns5:t>D</ns5:t>
        </ns5:r>
      </ns5:oMath>
      <w:r>
        <w:t xml:space="preserve">. Ai kërkon që</w:t>
      </w:r>
      <w:r>
        <w:t xml:space="preserve"> </w:t>
      </w:r>
      <ns5:oMath>
        <ns5:r>
          <ns5:t>P</ns5:t>
        </ns5:r>
        <ns5:d>
          <ns5:dPr>
            <ns5:begChr ns5:val="("/>
            <ns5:sepChr ns5:val=""/>
            <ns5:endChr ns5:val=")"/>
            <ns5:grow/>
          </ns5:dPr>
          <ns5:e>
            <ns5:r>
              <ns5:t>D</ns5:t>
            </ns5:r>
          </ns5:e>
        </ns5:d>
        <ns5:r>
          <ns5:rPr>
            <ns5:sty ns5:val="p"/>
          </ns5:rPr>
          <ns5:t>&gt;</ns5:t>
        </ns5:r>
        <ns5:r>
          <ns5:t>0</ns5:t>
        </ns5:r>
      </ns5:oMath>
      <w:r>
        <w:t xml:space="preserve">:</w:t>
      </w:r>
    </w:p>
    <w:p>
      <w:pPr>
        <w:pStyle w:val="BodyText"/>
      </w:pPr>
      <ns5:oMathPara>
        <ns5:oMathParaPr>
          <ns5:jc ns5:val="center"/>
        </ns5:oMathParaPr>
        <ns5:oMath>
          <ns5:r>
            <ns5:t>P</ns5:t>
          </ns5:r>
          <ns5:d>
            <ns5:dPr>
              <ns5:begChr ns5:val="("/>
              <ns5:sepChr ns5:val=""/>
              <ns5:endChr ns5:val=")"/>
              <ns5:grow/>
            </ns5:dPr>
            <ns5:e>
              <ns5:r>
                <ns5:t>A</ns5:t>
              </ns5:r>
              <ns5:r>
                <ns5:rPr>
                  <ns5:sty ns5:val="p"/>
                </ns5:rPr>
                <ns5:t>∣</ns5:t>
              </ns5:r>
              <ns5:r>
                <ns5:t>D</ns5:t>
              </ns5:r>
            </ns5:e>
          </ns5:d>
          <ns5:r>
            <ns5:rPr>
              <ns5:sty ns5:val="p"/>
            </ns5:rPr>
            <ns5:t>=</ns5:t>
          </ns5:r>
          <ns5:f>
            <ns5:fPr>
              <ns5:type ns5:val="bar"/>
            </ns5:fPr>
            <ns5:num>
              <ns5:r>
                <ns5:t>P</ns5:t>
              </ns5:r>
              <ns5:d>
                <ns5:dPr>
                  <ns5:begChr ns5:val="("/>
                  <ns5:sepChr ns5:val=""/>
                  <ns5:endChr ns5:val=")"/>
                  <ns5:grow/>
                </ns5:dPr>
                <ns5:e>
                  <ns5:r>
                    <ns5:t>A</ns5:t>
                  </ns5:r>
                  <ns5:r>
                    <ns5:rPr>
                      <ns5:sty ns5:val="p"/>
                    </ns5:rPr>
                    <ns5:t>∩</ns5:t>
                  </ns5:r>
                  <ns5:r>
                    <ns5:t>D</ns5:t>
                  </ns5:r>
                </ns5:e>
              </ns5:d>
            </ns5:num>
            <ns5:den>
              <ns5:r>
                <ns5:t>P</ns5:t>
              </ns5:r>
              <ns5:d>
                <ns5:dPr>
                  <ns5:begChr ns5:val="("/>
                  <ns5:sepChr ns5:val=""/>
                  <ns5:endChr ns5:val=")"/>
                  <ns5:grow/>
                </ns5:dPr>
                <ns5:e>
                  <ns5:r>
                    <ns5:t>D</ns5:t>
                  </ns5:r>
                </ns5:e>
              </ns5:d>
            </ns5:den>
          </ns5:f>
        </ns5:oMath>
      </ns5:oMathPara>
    </w:p>
    <w:p>
      <w:pPr>
        <w:pStyle w:val="FirstParagraph"/>
      </w:pPr>
      <w:r>
        <w:t xml:space="preserve">Rregulli i shumëzimit del nga e njëjta marrëdhënie. Ai tregon edhe kushtin e nevojshëm për pavarësi. Nëse</w:t>
      </w:r>
      <w:r>
        <w:t xml:space="preserve"> </w:t>
      </w:r>
      <ns5:oMath>
        <ns5:r>
          <ns5:t>A</ns5:t>
        </ns5:r>
      </ns5:oMath>
      <w:r>
        <w:t xml:space="preserve"> </w:t>
      </w:r>
      <w:r>
        <w:t xml:space="preserve">dhe</w:t>
      </w:r>
      <w:r>
        <w:t xml:space="preserve"> </w:t>
      </w:r>
      <ns5:oMath>
        <ns5:r>
          <ns5:t>D</ns5:t>
        </ns5:r>
      </ns5:oMath>
      <w:r>
        <w:t xml:space="preserve"> </w:t>
      </w:r>
      <w:r>
        <w:t xml:space="preserve">janë të pavarura, atëherë</w:t>
      </w:r>
      <w:r>
        <w:t xml:space="preserve"> </w:t>
      </w:r>
      <ns5:oMath>
        <ns5:r>
          <ns5:t>P</ns5:t>
        </ns5:r>
        <ns5:d>
          <ns5:dPr>
            <ns5:begChr ns5:val="("/>
            <ns5:sepChr ns5:val=""/>
            <ns5:endChr ns5:val=")"/>
            <ns5:grow/>
          </ns5:dPr>
          <ns5:e>
            <ns5:r>
              <ns5:t>A</ns5:t>
            </ns5:r>
            <ns5:r>
              <ns5:rPr>
                <ns5:sty ns5:val="p"/>
              </ns5:rPr>
              <ns5:t>∣</ns5:t>
            </ns5:r>
            <ns5:r>
              <ns5:t>D</ns5:t>
            </ns5:r>
          </ns5:e>
        </ns5:d>
        <ns5:r>
          <ns5:rPr>
            <ns5:sty ns5:val="p"/>
          </ns5:rPr>
          <ns5:t>=</ns5:t>
        </ns5:r>
        <ns5:r>
          <ns5:t>P</ns5:t>
        </ns5:r>
        <ns5:d>
          <ns5:dPr>
            <ns5:begChr ns5:val="("/>
            <ns5:sepChr ns5:val=""/>
            <ns5:endChr ns5:val=")"/>
            <ns5:grow/>
          </ns5:dPr>
          <ns5:e>
            <ns5:r>
              <ns5:t>A</ns5:t>
            </ns5:r>
          </ns5:e>
        </ns5:d>
      </ns5:oMath>
      <w:r>
        <w:t xml:space="preserve"> </w:t>
      </w:r>
      <w:r>
        <w:t xml:space="preserve">dhe probabiliteti i tyre i përbashkët faktorizohet:</w:t>
      </w:r>
    </w:p>
    <w:p>
      <w:pPr>
        <w:pStyle w:val="BodyText"/>
      </w:pPr>
      <ns5:oMathPara>
        <ns5:oMathParaPr>
          <ns5:jc ns5:val="center"/>
        </ns5:oMathParaPr>
        <ns5:oMath>
          <ns5:r>
            <ns5:t>P</ns5:t>
          </ns5:r>
          <ns5:d>
            <ns5:dPr>
              <ns5:begChr ns5:val="("/>
              <ns5:sepChr ns5:val=""/>
              <ns5:endChr ns5:val=")"/>
              <ns5:grow/>
            </ns5:dPr>
            <ns5:e>
              <ns5:r>
                <ns5:t>A</ns5:t>
              </ns5:r>
              <ns5:r>
                <ns5:rPr>
                  <ns5:sty ns5:val="p"/>
                </ns5:rPr>
                <ns5:t>∩</ns5:t>
              </ns5:r>
              <ns5:r>
                <ns5:t>D</ns5:t>
              </ns5:r>
            </ns5:e>
          </ns5:d>
          <ns5:r>
            <ns5:rPr>
              <ns5:sty ns5:val="p"/>
            </ns5:rPr>
            <ns5:t>=</ns5:t>
          </ns5:r>
          <ns5:r>
            <ns5:t>P</ns5:t>
          </ns5:r>
          <ns5:d>
            <ns5:dPr>
              <ns5:begChr ns5:val="("/>
              <ns5:sepChr ns5:val=""/>
              <ns5:endChr ns5:val=")"/>
              <ns5:grow/>
            </ns5:dPr>
            <ns5:e>
              <ns5:r>
                <ns5:t>A</ns5:t>
              </ns5:r>
              <ns5:r>
                <ns5:rPr>
                  <ns5:sty ns5:val="p"/>
                </ns5:rPr>
                <ns5:t>∣</ns5:t>
              </ns5:r>
              <ns5:r>
                <ns5:t>D</ns5:t>
              </ns5:r>
            </ns5:e>
          </ns5:d>
          <ns5:r>
            <ns5:t>P</ns5:t>
          </ns5:r>
          <ns5:d>
            <ns5:dPr>
              <ns5:begChr ns5:val="("/>
              <ns5:sepChr ns5:val=""/>
              <ns5:endChr ns5:val=")"/>
              <ns5:grow/>
            </ns5:dPr>
            <ns5:e>
              <ns5:r>
                <ns5:t>D</ns5:t>
              </ns5:r>
            </ns5:e>
          </ns5:d>
          <ns5:r>
            <ns5:rPr>
              <ns5:sty ns5:val="p"/>
            </ns5:rPr>
            <ns5:t>=</ns5:t>
          </ns5:r>
          <ns5:r>
            <ns5:t>P</ns5:t>
          </ns5:r>
          <ns5:d>
            <ns5:dPr>
              <ns5:begChr ns5:val="("/>
              <ns5:sepChr ns5:val=""/>
              <ns5:endChr ns5:val=")"/>
              <ns5:grow/>
            </ns5:dPr>
            <ns5:e>
              <ns5:r>
                <ns5:t>A</ns5:t>
              </ns5:r>
            </ns5:e>
          </ns5:d>
          <ns5:r>
            <ns5:t>P</ns5:t>
          </ns5:r>
          <ns5:d>
            <ns5:dPr>
              <ns5:begChr ns5:val="("/>
              <ns5:sepChr ns5:val=""/>
              <ns5:endChr ns5:val=")"/>
              <ns5:grow/>
            </ns5:dPr>
            <ns5:e>
              <ns5:r>
                <ns5:t>D</ns5:t>
              </ns5:r>
            </ns5:e>
          </ns5:d>
        </ns5:oMath>
      </ns5:oMathPara>
    </w:p>
    <w:p>
      <w:pPr>
        <w:pStyle w:val="FirstParagraph"/>
      </w:pPr>
      <w:r>
        <w:t xml:space="preserve">Teorema e Bayes-it e kthen kushtin duke përdorur ngjarjen e përbashkët në rend të kundërt:</w:t>
      </w:r>
    </w:p>
    <w:p>
      <w:pPr>
        <w:pStyle w:val="BodyText"/>
      </w:pPr>
      <ns5:oMathPara>
        <ns5:oMathParaPr>
          <ns5:jc ns5:val="center"/>
        </ns5:oMathParaPr>
        <ns5:oMath>
          <ns5:r>
            <ns5:t>P</ns5:t>
          </ns5:r>
          <ns5:d>
            <ns5:dPr>
              <ns5:begChr ns5:val="("/>
              <ns5:sepChr ns5:val=""/>
              <ns5:endChr ns5:val=")"/>
              <ns5:grow/>
            </ns5:dPr>
            <ns5:e>
              <ns5:r>
                <ns5:t>A</ns5:t>
              </ns5:r>
              <ns5:r>
                <ns5:rPr>
                  <ns5:sty ns5:val="p"/>
                </ns5:rPr>
                <ns5:t>∣</ns5:t>
              </ns5:r>
              <ns5:r>
                <ns5:t>D</ns5:t>
              </ns5:r>
            </ns5:e>
          </ns5:d>
          <ns5:r>
            <ns5:rPr>
              <ns5:sty ns5:val="p"/>
            </ns5:rPr>
            <ns5:t>=</ns5:t>
          </ns5:r>
          <ns5:f>
            <ns5:fPr>
              <ns5:type ns5:val="bar"/>
            </ns5:fPr>
            <ns5:num>
              <ns5:r>
                <ns5:t>P</ns5:t>
              </ns5:r>
              <ns5:d>
                <ns5:dPr>
                  <ns5:begChr ns5:val="("/>
                  <ns5:sepChr ns5:val=""/>
                  <ns5:endChr ns5:val=")"/>
                  <ns5:grow/>
                </ns5:dPr>
                <ns5:e>
                  <ns5:r>
                    <ns5:t>D</ns5:t>
                  </ns5:r>
                  <ns5:r>
                    <ns5:rPr>
                      <ns5:sty ns5:val="p"/>
                    </ns5:rPr>
                    <ns5:t>∣</ns5:t>
                  </ns5:r>
                  <ns5:r>
                    <ns5:t>A</ns5:t>
                  </ns5:r>
                </ns5:e>
              </ns5:d>
              <ns5:r>
                <ns5:t>P</ns5:t>
              </ns5:r>
              <ns5:d>
                <ns5:dPr>
                  <ns5:begChr ns5:val="("/>
                  <ns5:sepChr ns5:val=""/>
                  <ns5:endChr ns5:val=")"/>
                  <ns5:grow/>
                </ns5:dPr>
                <ns5:e>
                  <ns5:r>
                    <ns5:t>A</ns5:t>
                  </ns5:r>
                </ns5:e>
              </ns5:d>
            </ns5:num>
            <ns5:den>
              <ns5:r>
                <ns5:t>P</ns5:t>
              </ns5:r>
              <ns5:d>
                <ns5:dPr>
                  <ns5:begChr ns5:val="("/>
                  <ns5:sepChr ns5:val=""/>
                  <ns5:endChr ns5:val=")"/>
                  <ns5:grow/>
                </ns5:dPr>
                <ns5:e>
                  <ns5:r>
                    <ns5:t>D</ns5:t>
                  </ns5:r>
                </ns5:e>
              </ns5:d>
            </ns5:den>
          </ns5:f>
        </ns5:oMath>
      </ns5:oMathPara>
    </w:p>
    <w:p>
      <w:pPr>
        <w:pStyle w:val="FirstParagraph"/>
      </w:pPr>
      <w:r>
        <w:t xml:space="preserve">Kur</w:t>
      </w:r>
      <w:r>
        <w:t xml:space="preserve"> </w:t>
      </w:r>
      <ns5:oMath>
        <ns5:r>
          <ns5:t>A</ns5:t>
        </ns5:r>
      </ns5:oMath>
      <w:r>
        <w:t xml:space="preserve"> </w:t>
      </w:r>
      <w:r>
        <w:t xml:space="preserve">dhe</w:t>
      </w:r>
      <w:r>
        <w:t xml:space="preserve"> </w:t>
      </w:r>
      <ns5:oMath>
        <ns5:sSup>
          <ns5:e>
            <ns5:r>
              <ns5:t>A</ns5:t>
            </ns5:r>
          </ns5:e>
          <ns5:sup>
            <ns5:r>
              <ns5:t>c</ns5:t>
            </ns5:r>
          </ns5:sup>
        </ns5:sSup>
      </ns5:oMath>
      <w:r>
        <w:t xml:space="preserve"> </w:t>
      </w:r>
      <w:r>
        <w:t xml:space="preserve">mbulojnë të gjitha mundësitë, emëruesi mund të ndërtohet me ligjin e probabilitetit të përgjithshëm:</w:t>
      </w:r>
    </w:p>
    <w:p>
      <w:pPr>
        <w:pStyle w:val="BodyText"/>
      </w:pPr>
      <ns5:oMathPara>
        <ns5:oMathParaPr>
          <ns5:jc ns5:val="center"/>
        </ns5:oMathParaPr>
        <ns5:oMath>
          <ns5:r>
            <ns5:t>P</ns5:t>
          </ns5:r>
          <ns5:d>
            <ns5:dPr>
              <ns5:begChr ns5:val="("/>
              <ns5:sepChr ns5:val=""/>
              <ns5:endChr ns5:val=")"/>
              <ns5:grow/>
            </ns5:dPr>
            <ns5:e>
              <ns5:r>
                <ns5:t>D</ns5:t>
              </ns5:r>
            </ns5:e>
          </ns5:d>
          <ns5:r>
            <ns5:rPr>
              <ns5:sty ns5:val="p"/>
            </ns5:rPr>
            <ns5:t>=</ns5:t>
          </ns5:r>
          <ns5:r>
            <ns5:t>P</ns5:t>
          </ns5:r>
          <ns5:d>
            <ns5:dPr>
              <ns5:begChr ns5:val="("/>
              <ns5:sepChr ns5:val=""/>
              <ns5:endChr ns5:val=")"/>
              <ns5:grow/>
            </ns5:dPr>
            <ns5:e>
              <ns5:r>
                <ns5:t>D</ns5:t>
              </ns5:r>
              <ns5:r>
                <ns5:rPr>
                  <ns5:sty ns5:val="p"/>
                </ns5:rPr>
                <ns5:t>∣</ns5:t>
              </ns5:r>
              <ns5:r>
                <ns5:t>A</ns5:t>
              </ns5:r>
            </ns5:e>
          </ns5:d>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D</ns5:t>
              </ns5:r>
              <ns5:r>
                <ns5:rPr>
                  <ns5:sty ns5:val="p"/>
                </ns5:rPr>
                <ns5:t>∣</ns5:t>
              </ns5:r>
              <ns5:sSup>
                <ns5:e>
                  <ns5:r>
                    <ns5:t>A</ns5:t>
                  </ns5:r>
                </ns5:e>
                <ns5:sup>
                  <ns5:r>
                    <ns5:t>c</ns5:t>
                  </ns5:r>
                </ns5:sup>
              </ns5:sSup>
            </ns5:e>
          </ns5:d>
          <ns5:r>
            <ns5:t>P</ns5:t>
          </ns5:r>
          <ns5:d>
            <ns5:dPr>
              <ns5:begChr ns5:val="("/>
              <ns5:sepChr ns5:val=""/>
              <ns5:endChr ns5:val=")"/>
              <ns5:grow/>
            </ns5:dPr>
            <ns5:e>
              <ns5:sSup>
                <ns5:e>
                  <ns5:r>
                    <ns5:t>A</ns5:t>
                  </ns5:r>
                </ns5:e>
                <ns5:sup>
                  <ns5:r>
                    <ns5:t>c</ns5:t>
                  </ns5:r>
                </ns5:sup>
              </ns5:sSup>
            </ns5:e>
          </ns5:d>
          <ns5:r>
            <ns5:rPr>
              <ns5:sty ns5:val="p"/>
            </ns5:rPr>
            <ns5:t>.</ns5:t>
          </ns5:r>
        </ns5:oMath>
      </ns5:oMathPara>
    </w:p>
    <w:p>
      <w:pPr>
        <w:pStyle w:val="FirstParagraph"/>
      </w:pPr>
      <w:r>
        <w:t xml:space="preserve">Ky emërues e mban të dukshme normën bazë. Një tabelë me frekuenca natyrore e shpreh të njëjtin përditësim me numërime dhe shpesh është mënyra më e sigurt për të dalluar ndjeshmërinë, probabilitetin e një rezultati pozitiv të rremë dhe probabilitetin e</w:t>
      </w:r>
      <w:r>
        <w:t xml:space="preserve"> </w:t>
      </w:r>
      <ns5:oMath>
        <ns5:r>
          <ns5:t>A</ns5:t>
        </ns5:r>
      </ns5:oMath>
      <w:r>
        <w:t xml:space="preserve"> </w:t>
      </w:r>
      <w:r>
        <w:t xml:space="preserve">pasi vrojtohet</w:t>
      </w:r>
      <w:r>
        <w:t xml:space="preserve"> </w:t>
      </w:r>
      <ns5:oMath>
        <ns5:r>
          <ns5:t>D</ns5:t>
        </ns5:r>
      </ns5:oMath>
      <w:r>
        <w:t xml:space="preserve">.</w:t>
      </w:r>
    </w:p>
    <w:p>
      <w:pPr>
        <w:pStyle w:val="BodyText"/>
      </w:pPr>
      <w:r>
        <w:t xml:space="preserve">Për një ndryshore të rastësishme diskrete, funksioni i masës së probabilitetit është</w:t>
      </w:r>
      <w:r>
        <w:t xml:space="preserve"> </w:t>
      </w:r>
      <ns5:oMath>
        <ns5:r>
          <ns5:t>p</ns5:t>
        </ns5:r>
        <ns5:d>
          <ns5:dPr>
            <ns5:begChr ns5:val="("/>
            <ns5:sepChr ns5:val=""/>
            <ns5:endChr ns5:val=")"/>
            <ns5:grow/>
          </ns5:dPr>
          <ns5:e>
            <ns5:r>
              <ns5:t>x</ns5:t>
            </ns5:r>
          </ns5:e>
        </ns5:d>
        <ns5:r>
          <ns5:rPr>
            <ns5:sty ns5:val="p"/>
          </ns5:rPr>
          <ns5:t>=</ns5:t>
        </ns5:r>
        <ns5:r>
          <ns5:t>P</ns5:t>
        </ns5:r>
        <ns5:d>
          <ns5:dPr>
            <ns5:begChr ns5:val="("/>
            <ns5:sepChr ns5:val=""/>
            <ns5:endChr ns5:val=")"/>
            <ns5:grow/>
          </ns5:dPr>
          <ns5:e>
            <ns5:r>
              <ns5:t>X</ns5:t>
            </ns5:r>
            <ns5:r>
              <ns5:rPr>
                <ns5:sty ns5:val="p"/>
              </ns5:rPr>
              <ns5:t>=</ns5:t>
            </ns5:r>
            <ns5:r>
              <ns5:t>x</ns5:t>
            </ns5:r>
          </ns5:e>
        </ns5:d>
      </ns5:oMath>
      <w:r>
        <w:t xml:space="preserve">, ndërsa funksioni kumulativ i shpërndarjes është</w:t>
      </w:r>
    </w:p>
    <w:p>
      <w:pPr>
        <w:pStyle w:val="BodyText"/>
      </w:pPr>
      <ns5:oMathPara>
        <ns5:oMathParaPr>
          <ns5:jc ns5:val="center"/>
        </ns5:oMathParaPr>
        <ns5:oMath>
          <ns5:r>
            <ns5:t>F</ns5:t>
          </ns5:r>
          <ns5:d>
            <ns5:dPr>
              <ns5:begChr ns5:val="("/>
              <ns5:sepChr ns5:val=""/>
              <ns5:endChr ns5:val=")"/>
              <ns5:grow/>
            </ns5:dPr>
            <ns5:e>
              <ns5:r>
                <ns5:t>x</ns5:t>
              </ns5:r>
            </ns5:e>
          </ns5:d>
          <ns5:r>
            <ns5:rPr>
              <ns5:sty ns5:val="p"/>
            </ns5:rPr>
            <ns5:t>=</ns5:t>
          </ns5:r>
          <ns5:r>
            <ns5:t>P</ns5:t>
          </ns5:r>
          <ns5:d>
            <ns5:dPr>
              <ns5:begChr ns5:val="("/>
              <ns5:sepChr ns5:val=""/>
              <ns5:endChr ns5:val=")"/>
              <ns5:grow/>
            </ns5:dPr>
            <ns5:e>
              <ns5:r>
                <ns5:t>X</ns5:t>
              </ns5:r>
              <ns5:r>
                <ns5:rPr>
                  <ns5:sty ns5:val="p"/>
                </ns5:rPr>
                <ns5:t>≤</ns5:t>
              </ns5:r>
              <ns5:r>
                <ns5:t>x</ns5:t>
              </ns5:r>
            </ns5:e>
          </ns5:d>
          <ns5:r>
            <ns5:rPr>
              <ns5:sty ns5:val="p"/>
            </ns5:rPr>
            <ns5:t>=</ns5:t>
          </ns5:r>
          <ns5:nary>
            <ns5:naryPr>
              <ns5:chr ns5:val="∑"/>
              <ns5:limLoc ns5:val="undOvr"/>
              <ns5:subHide ns5:val="off"/>
              <ns5:supHide ns5:val="on"/>
            </ns5:naryPr>
            <ns5:sub>
              <ns5:r>
                <ns5:t>u</ns5:t>
              </ns5:r>
              <ns5:r>
                <ns5:rPr>
                  <ns5:sty ns5:val="p"/>
                </ns5:rPr>
                <ns5:t>≤</ns5:t>
              </ns5:r>
              <ns5:r>
                <ns5:t>x</ns5:t>
              </ns5:r>
            </ns5:sub>
            <ns5:sup>
              <ns5:r>
                <ns5:t>​</ns5:t>
              </ns5:r>
            </ns5:sup>
            <ns5:e>
              <ns5:r>
                <ns5:t>p</ns5:t>
              </ns5:r>
            </ns5:e>
          </ns5:nary>
          <ns5:d>
            <ns5:dPr>
              <ns5:begChr ns5:val="("/>
              <ns5:sepChr ns5:val=""/>
              <ns5:endChr ns5:val=")"/>
              <ns5:grow/>
            </ns5:dPr>
            <ns5:e>
              <ns5:r>
                <ns5:t>u</ns5:t>
              </ns5:r>
            </ns5:e>
          </ns5:d>
          <ns5:r>
            <ns5:rPr>
              <ns5:sty ns5:val="p"/>
            </ns5:rPr>
            <ns5:t>.</ns5:t>
          </ns5:r>
        </ns5:oMath>
      </ns5:oMathPara>
    </w:p>
    <w:p>
      <w:pPr>
        <w:pStyle w:val="FirstParagraph"/>
      </w:pPr>
      <w:r>
        <w:t xml:space="preserve">Nëse vlerat e mundshme janë</w:t>
      </w:r>
      <w:r>
        <w:t xml:space="preserve"> </w:t>
      </w:r>
      <ns5:oMath>
        <ns5:sSub>
          <ns5:e>
            <ns5:r>
              <ns5:t>x</ns5:t>
            </ns5:r>
          </ns5:e>
          <ns5:sub>
            <ns5:r>
              <ns5:t>1</ns5:t>
            </ns5:r>
          </ns5:sub>
        </ns5:sSub>
        <ns5:r>
          <ns5:rPr>
            <ns5:sty ns5:val="p"/>
          </ns5:rPr>
          <ns5:t>,</ns5:t>
        </ns5:r>
        <ns5:r>
          <ns5:rPr>
            <ns5:sty ns5:val="p"/>
          </ns5:rPr>
          <ns5:t>…</ns5:t>
        </ns5:r>
        <ns5:r>
          <ns5:rPr>
            <ns5:sty ns5:val="p"/>
          </ns5:rPr>
          <ns5:t>,</ns5:t>
        </ns5:r>
        <ns5:sSub>
          <ns5:e>
            <ns5:r>
              <ns5:t>x</ns5:t>
            </ns5:r>
          </ns5:e>
          <ns5:sub>
            <ns5:r>
              <ns5:t>m</ns5:t>
            </ns5:r>
          </ns5:sub>
        </ns5:sSub>
      </ns5:oMath>
      <w:r>
        <w:t xml:space="preserve">, vlera e pritur dhe varianca janë</w:t>
      </w:r>
    </w:p>
    <w:p>
      <w:pPr>
        <w:pStyle w:val="BodyText"/>
      </w:pPr>
      <ns5:oMathPara>
        <ns5:oMathParaPr>
          <ns5:jc ns5:val="center"/>
        </ns5:oMathParaPr>
        <ns5:oMath>
          <ns5:r>
            <ns5:t>E</ns5:t>
          </ns5:r>
          <ns5:d>
            <ns5:dPr>
              <ns5:begChr ns5:val="("/>
              <ns5:sepChr ns5:val=""/>
              <ns5:endChr ns5:val=")"/>
              <ns5:grow/>
            </ns5:dPr>
            <ns5:e>
              <ns5:r>
                <ns5:t>X</ns5:t>
              </ns5:r>
            </ns5:e>
          </ns5:d>
          <ns5:r>
            <ns5:rPr>
              <ns5:sty ns5:val="p"/>
            </ns5:rPr>
            <ns5:t>=</ns5:t>
          </ns5:r>
          <ns5:nary>
            <ns5:naryPr>
              <ns5:chr ns5:val="∑"/>
              <ns5:limLoc ns5:val="undOvr"/>
              <ns5:subHide ns5:val="off"/>
              <ns5:supHide ns5:val="off"/>
            </ns5:naryPr>
            <ns5:sub>
              <ns5:r>
                <ns5:t>j</ns5:t>
              </ns5:r>
              <ns5:r>
                <ns5:rPr>
                  <ns5:sty ns5:val="p"/>
                </ns5:rPr>
                <ns5:t>=</ns5:t>
              </ns5:r>
              <ns5:r>
                <ns5:t>1</ns5:t>
              </ns5:r>
            </ns5:sub>
            <ns5:sup>
              <ns5:r>
                <ns5:t>m</ns5:t>
              </ns5:r>
            </ns5:sup>
            <ns5:e>
              <ns5:sSub>
                <ns5:e>
                  <ns5:r>
                    <ns5:t>x</ns5:t>
                  </ns5:r>
                </ns5:e>
                <ns5:sub>
                  <ns5:r>
                    <ns5:t>j</ns5:t>
                  </ns5:r>
                </ns5:sub>
              </ns5:sSub>
            </ns5:e>
          </ns5:nary>
          <ns5:r>
            <ns5:t>p</ns5:t>
          </ns5:r>
          <ns5:d>
            <ns5:dPr>
              <ns5:begChr ns5:val="("/>
              <ns5:sepChr ns5:val=""/>
              <ns5:endChr ns5:val=")"/>
              <ns5:grow/>
            </ns5:dPr>
            <ns5:e>
              <ns5:sSub>
                <ns5:e>
                  <ns5:r>
                    <ns5:t>x</ns5:t>
                  </ns5:r>
                </ns5:e>
                <ns5:sub>
                  <ns5:r>
                    <ns5:t>j</ns5:t>
                  </ns5:r>
                </ns5:sub>
              </ns5:sSub>
            </ns5:e>
          </ns5:d>
          <ns5:r>
            <ns5:rPr>
              <ns5:sty ns5:val="p"/>
            </ns5:rPr>
            <ns5:t>,</ns5:t>
          </ns5:r>
          <ns5:r>
            <ns5:t>  </ns5:t>
          </ns5:r>
          <ns5:r>
            <ns5:t>V</ns5:t>
          </ns5:r>
          <ns5:r>
            <ns5:t>a</ns5:t>
          </ns5:r>
          <ns5:r>
            <ns5:t>r</ns5:t>
          </ns5:r>
          <ns5:d>
            <ns5:dPr>
              <ns5:begChr ns5:val="("/>
              <ns5:sepChr ns5:val=""/>
              <ns5:endChr ns5:val=")"/>
              <ns5:grow/>
            </ns5:dPr>
            <ns5:e>
              <ns5:r>
                <ns5:t>X</ns5:t>
              </ns5:r>
            </ns5:e>
          </ns5:d>
          <ns5:r>
            <ns5:rPr>
              <ns5:sty ns5:val="p"/>
            </ns5:rPr>
            <ns5:t>=</ns5:t>
          </ns5:r>
          <ns5:nary>
            <ns5:naryPr>
              <ns5:chr ns5:val="∑"/>
              <ns5:limLoc ns5:val="undOvr"/>
              <ns5:subHide ns5:val="off"/>
              <ns5:supHide ns5:val="off"/>
            </ns5:naryPr>
            <ns5:sub>
              <ns5:r>
                <ns5:t>j</ns5:t>
              </ns5:r>
              <ns5:r>
                <ns5:rPr>
                  <ns5:sty ns5:val="p"/>
                </ns5:rPr>
                <ns5:t>=</ns5:t>
              </ns5:r>
              <ns5:r>
                <ns5:t>1</ns5:t>
              </ns5:r>
            </ns5:sub>
            <ns5:sup>
              <ns5:r>
                <ns5:t>m</ns5:t>
              </ns5:r>
            </ns5:sup>
            <ns5:e>
              <ns5:r>
                <ns5:rPr>
                  <ns5:sty ns5:val="p"/>
                </ns5:rPr>
                <ns5:t>(</ns5:t>
              </ns5:r>
            </ns5:e>
          </ns5:nary>
          <ns5:sSub>
            <ns5:e>
              <ns5:r>
                <ns5:t>x</ns5:t>
              </ns5:r>
            </ns5:e>
            <ns5:sub>
              <ns5:r>
                <ns5:t>j</ns5:t>
              </ns5:r>
            </ns5:sub>
          </ns5:sSub>
          <ns5:r>
            <ns5:rPr>
              <ns5:sty ns5:val="p"/>
            </ns5:rPr>
            <ns5:t>−</ns5:t>
          </ns5:r>
          <ns5:r>
            <ns5:t>E</ns5:t>
          </ns5:r>
          <ns5:d>
            <ns5:dPr>
              <ns5:begChr ns5:val="("/>
              <ns5:sepChr ns5:val=""/>
              <ns5:endChr ns5:val=")"/>
              <ns5:grow/>
            </ns5:dPr>
            <ns5:e>
              <ns5:r>
                <ns5:t>X</ns5:t>
              </ns5:r>
            </ns5:e>
          </ns5:d>
          <ns5:sSup>
            <ns5:e>
              <ns5:r>
                <ns5:rPr>
                  <ns5:sty ns5:val="p"/>
                </ns5:rPr>
                <ns5:t>)</ns5:t>
              </ns5:r>
            </ns5:e>
            <ns5:sup>
              <ns5:r>
                <ns5:t>2</ns5:t>
              </ns5:r>
            </ns5:sup>
          </ns5:sSup>
          <ns5:r>
            <ns5:t>p</ns5:t>
          </ns5:r>
          <ns5:d>
            <ns5:dPr>
              <ns5:begChr ns5:val="("/>
              <ns5:sepChr ns5:val=""/>
              <ns5:endChr ns5:val=")"/>
              <ns5:grow/>
            </ns5:dPr>
            <ns5:e>
              <ns5:sSub>
                <ns5:e>
                  <ns5:r>
                    <ns5:t>x</ns5:t>
                  </ns5:r>
                </ns5:e>
                <ns5:sub>
                  <ns5:r>
                    <ns5:t>j</ns5:t>
                  </ns5:r>
                </ns5:sub>
              </ns5:sSub>
            </ns5:e>
          </ns5:d>
          <ns5:r>
            <ns5:rPr>
              <ns5:sty ns5:val="p"/>
            </ns5:rPr>
            <ns5:t>.</ns5:t>
          </ns5:r>
        </ns5:oMath>
      </ns5:oMathPara>
    </w:p>
    <w:p>
      <w:pPr>
        <w:pStyle w:val="FirstParagraph"/>
      </w:pPr>
      <w:r>
        <w:t xml:space="preserve">Vlera e pritur është pika e baraspeshës në afat të gjatë e modelit të probabilitetit. Ajo nuk është premtim se një vrojtim i vetëm do të jetë i barabartë me të.</w:t>
      </w:r>
    </w:p>
    <w:p>
      <w:pPr>
        <w:pStyle w:val="BodyText"/>
      </w:pPr>
      <w:r>
        <w:t xml:space="preserve">Për një ndryshore të rastësishme të vazhdueshme me dendësi</w:t>
      </w:r>
      <w:r>
        <w:t xml:space="preserve"> </w:t>
      </w:r>
      <ns5:oMath>
        <ns5:r>
          <ns5:t>f</ns5:t>
        </ns5:r>
      </ns5:oMath>
      <w:r>
        <w:t xml:space="preserve">, probabiliteti është sipërfaqja nën dendësi përmbi një interval. Funksioni kumulativ i shpërndarjes e jep atë probabilitet intervali pa pasur nevojë për shënimin e analizës matematike:</w:t>
      </w:r>
    </w:p>
    <w:p>
      <w:pPr>
        <w:pStyle w:val="BodyText"/>
      </w:pPr>
      <ns5:oMathPara>
        <ns5:oMathParaPr>
          <ns5:jc ns5:val="center"/>
        </ns5:oMathParaPr>
        <ns5:oMath>
          <ns5:r>
            <ns5:t>P</ns5:t>
          </ns5:r>
          <ns5:d>
            <ns5:dPr>
              <ns5:begChr ns5:val="("/>
              <ns5:sepChr ns5:val=""/>
              <ns5:endChr ns5:val=")"/>
              <ns5:grow/>
            </ns5:dPr>
            <ns5:e>
              <ns5:r>
                <ns5:t>a</ns5:t>
              </ns5:r>
              <ns5:r>
                <ns5:rPr>
                  <ns5:sty ns5:val="p"/>
                </ns5:rPr>
                <ns5:t>&lt;</ns5:t>
              </ns5:r>
              <ns5:r>
                <ns5:t>X</ns5:t>
              </ns5:r>
              <ns5:r>
                <ns5:rPr>
                  <ns5:sty ns5:val="p"/>
                </ns5:rPr>
                <ns5:t>≤</ns5:t>
              </ns5:r>
              <ns5:r>
                <ns5:t>b</ns5:t>
              </ns5:r>
            </ns5:e>
          </ns5:d>
          <ns5:r>
            <ns5:rPr>
              <ns5:sty ns5:val="p"/>
            </ns5:rPr>
            <ns5:t>=</ns5:t>
          </ns5:r>
          <ns5:r>
            <ns5:t>F</ns5:t>
          </ns5:r>
          <ns5:d>
            <ns5:dPr>
              <ns5:begChr ns5:val="("/>
              <ns5:sepChr ns5:val=""/>
              <ns5:endChr ns5:val=")"/>
              <ns5:grow/>
            </ns5:dPr>
            <ns5:e>
              <ns5:r>
                <ns5:t>b</ns5:t>
              </ns5:r>
            </ns5:e>
          </ns5:d>
          <ns5:r>
            <ns5:rPr>
              <ns5:sty ns5:val="p"/>
            </ns5:rPr>
            <ns5:t>−</ns5:t>
          </ns5:r>
          <ns5:r>
            <ns5:t>F</ns5:t>
          </ns5:r>
          <ns5:d>
            <ns5:dPr>
              <ns5:begChr ns5:val="("/>
              <ns5:sepChr ns5:val=""/>
              <ns5:endChr ns5:val=")"/>
              <ns5:grow/>
            </ns5:dPr>
            <ns5:e>
              <ns5:r>
                <ns5:t>a</ns5:t>
              </ns5:r>
            </ns5:e>
          </ns5:d>
          <ns5:r>
            <ns5:rPr>
              <ns5:sty ns5:val="p"/>
            </ns5:rPr>
            <ns5:t>.</ns5:t>
          </ns5:r>
        </ns5:oMath>
      </ns5:oMathPara>
    </w:p>
    <w:p>
      <w:pPr>
        <w:pStyle w:val="FirstParagraph"/>
      </w:pPr>
      <w:r>
        <w:t xml:space="preserve">Lartësia e dendësisë nuk është vetë probabilitet dhe, në një model të vazhdueshëm,</w:t>
      </w:r>
      <w:r>
        <w:t xml:space="preserve"> </w:t>
      </w:r>
      <ns5:oMath>
        <ns5:r>
          <ns5:t>P</ns5:t>
        </ns5:r>
        <ns5:d>
          <ns5:dPr>
            <ns5:begChr ns5:val="("/>
            <ns5:sepChr ns5:val=""/>
            <ns5:endChr ns5:val=")"/>
            <ns5:grow/>
          </ns5:dPr>
          <ns5:e>
            <ns5:r>
              <ns5:t>X</ns5:t>
            </ns5:r>
            <ns5:r>
              <ns5:rPr>
                <ns5:sty ns5:val="p"/>
              </ns5:rPr>
              <ns5:t>=</ns5:t>
            </ns5:r>
            <ns5:r>
              <ns5:t>x</ns5:t>
            </ns5:r>
          </ns5:e>
        </ns5:d>
        <ns5:r>
          <ns5:rPr>
            <ns5:sty ns5:val="p"/>
          </ns5:rPr>
          <ns5:t>=</ns5:t>
        </ns5:r>
        <ns5:r>
          <ns5:t>0</ns5:t>
        </ns5:r>
      </ns5:oMath>
      <w:r>
        <w:t xml:space="preserve"> </w:t>
      </w:r>
      <w:r>
        <w:t xml:space="preserve">për një pikë të vetme të saktë.</w:t>
      </w:r>
    </w:p>
    <w:p>
      <w:pPr>
        <w:pStyle w:val="BodyText"/>
      </w:pPr>
      <w:r>
        <w:t xml:space="preserve">Për një ndryshore të rastësishme binomiale</w:t>
      </w:r>
      <w:r>
        <w:t xml:space="preserve"> </w:t>
      </w:r>
      <ns5:oMath>
        <ns5:r>
          <ns5:t>X</ns5:t>
        </ns5:r>
      </ns5:oMath>
      <w:r>
        <w:t xml:space="preserve"> </w:t>
      </w:r>
      <w:r>
        <w:t xml:space="preserve">me</w:t>
      </w:r>
      <w:r>
        <w:t xml:space="preserve"> </w:t>
      </w:r>
      <ns5:oMath>
        <ns5:r>
          <ns5:t>n</ns5:t>
        </ns5:r>
      </ns5:oMath>
      <w:r>
        <w:t xml:space="preserve"> </w:t>
      </w:r>
      <w:r>
        <w:t xml:space="preserve">prova dhe probabilitet suksesi</w:t>
      </w:r>
      <w:r>
        <w:t xml:space="preserve"> </w:t>
      </w:r>
      <ns5:oMath>
        <ns5:r>
          <ns5:t>p</ns5:t>
        </ns5:r>
      </ns5:oMath>
      <w:r>
        <w:t xml:space="preserve">, probabiliteti i saktësisht</w:t>
      </w:r>
      <w:r>
        <w:t xml:space="preserve"> </w:t>
      </w:r>
      <ns5:oMath>
        <ns5:r>
          <ns5:t>k</ns5:t>
        </ns5:r>
      </ns5:oMath>
      <w:r>
        <w:t xml:space="preserve"> </w:t>
      </w:r>
      <w:r>
        <w:t xml:space="preserve">sukseseve është:</w:t>
      </w:r>
    </w:p>
    <w:p>
      <w:pPr>
        <w:pStyle w:val="BodyText"/>
      </w:pPr>
      <ns5:oMathPara>
        <ns5:oMathParaPr>
          <ns5:jc ns5:val="center"/>
        </ns5:oMathParaPr>
        <ns5:oMath>
          <ns5:r>
            <ns5:t>P</ns5:t>
          </ns5:r>
          <ns5:d>
            <ns5:dPr>
              <ns5:begChr ns5:val="("/>
              <ns5:sepChr ns5:val=""/>
              <ns5:endChr ns5:val=")"/>
              <ns5:grow/>
            </ns5:dPr>
            <ns5:e>
              <ns5:r>
                <ns5:t>X</ns5:t>
              </ns5:r>
              <ns5:r>
                <ns5:rPr>
                  <ns5:sty ns5:val="p"/>
                </ns5:rPr>
                <ns5:t>=</ns5:t>
              </ns5:r>
              <ns5:r>
                <ns5:t>k</ns5:t>
              </ns5:r>
            </ns5:e>
          </ns5:d>
          <ns5:r>
            <ns5:rPr>
              <ns5:sty ns5:val="p"/>
            </ns5:rPr>
            <ns5:t>=</ns5:t>
          </ns5:r>
          <ns5:d>
            <ns5:dPr>
              <ns5:begChr ns5:val="("/>
              <ns5:sepChr ns5:val=""/>
              <ns5:endChr ns5:val=")"/>
              <ns5:grow/>
            </ns5:dPr>
            <ns5:e>
              <ns5:f>
                <ns5:fPr>
                  <ns5:type ns5:val="noBar"/>
                </ns5:fPr>
                <ns5:num>
                  <ns5:r>
                    <ns5:t>n</ns5:t>
                  </ns5:r>
                </ns5:num>
                <ns5:den>
                  <ns5:r>
                    <ns5:t>k</ns5:t>
                  </ns5:r>
                </ns5:den>
              </ns5:f>
            </ns5:e>
          </ns5:d>
          <ns5:sSup>
            <ns5:e>
              <ns5:r>
                <ns5:t>p</ns5:t>
              </ns5:r>
            </ns5:e>
            <ns5:sup>
              <ns5:r>
                <ns5:t>k</ns5:t>
              </ns5:r>
            </ns5:sup>
          </ns5:sSup>
          <ns5:sSup>
            <ns5:e>
              <ns5:d>
                <ns5:dPr>
                  <ns5:begChr ns5:val="("/>
                  <ns5:sepChr ns5:val=""/>
                  <ns5:endChr ns5:val=")"/>
                  <ns5:grow/>
                </ns5:dPr>
                <ns5:e>
                  <ns5:r>
                    <ns5:t>1</ns5:t>
                  </ns5:r>
                  <ns5:r>
                    <ns5:rPr>
                      <ns5:sty ns5:val="p"/>
                    </ns5:rPr>
                    <ns5:t>−</ns5:t>
                  </ns5:r>
                  <ns5:r>
                    <ns5:t>p</ns5:t>
                  </ns5:r>
                </ns5:e>
              </ns5:d>
            </ns5:e>
            <ns5:sup>
              <ns5:r>
                <ns5:t>n</ns5:t>
              </ns5:r>
              <ns5:r>
                <ns5:rPr>
                  <ns5:sty ns5:val="p"/>
                </ns5:rPr>
                <ns5:t>−</ns5:t>
              </ns5:r>
              <ns5:r>
                <ns5:t>k</ns5:t>
              </ns5:r>
            </ns5:sup>
          </ns5:sSup>
        </ns5:oMath>
      </ns5:oMathPara>
    </w:p>
    <w:p>
      <w:pPr>
        <w:pStyle w:val="FirstParagraph"/>
      </w:pPr>
      <w:r>
        <w:t xml:space="preserve">Koeficienti</w:t>
      </w:r>
      <w:r>
        <w:t xml:space="preserve"> </w:t>
      </w:r>
      <ns5:oMath>
        <ns5:d>
          <ns5:dPr>
            <ns5:begChr ns5:val="("/>
            <ns5:sepChr ns5:val=""/>
            <ns5:endChr ns5:val=")"/>
            <ns5:grow/>
          </ns5:dPr>
          <ns5:e>
            <ns5:f>
              <ns5:fPr>
                <ns5:type ns5:val="noBar"/>
              </ns5:fPr>
              <ns5:num>
                <ns5:r>
                  <ns5:t>n</ns5:t>
                </ns5:r>
              </ns5:num>
              <ns5:den>
                <ns5:r>
                  <ns5:t>k</ns5:t>
                </ns5:r>
              </ns5:den>
            </ns5:f>
          </ns5:e>
        </ns5:d>
      </ns5:oMath>
      <w:r>
        <w:t xml:space="preserve"> </w:t>
      </w:r>
      <w:r>
        <w:t xml:space="preserve">numëron sa renditje provash përmbajnë saktësisht</w:t>
      </w:r>
      <w:r>
        <w:t xml:space="preserve"> </w:t>
      </w:r>
      <ns5:oMath>
        <ns5:r>
          <ns5:t>k</ns5:t>
        </ns5:r>
      </ns5:oMath>
      <w:r>
        <w:t xml:space="preserve"> </w:t>
      </w:r>
      <w:r>
        <w:t xml:space="preserve">suksese. Përdore këtë model vetëm pasi t’i kesh kontrolluar supozimet e tij dhe jo thjesht sepse rezultati është një numërim.</w:t>
      </w:r>
    </w:p>
    <w:p>
      <w:pPr>
        <w:pStyle w:val="BodyText"/>
      </w:pPr>
      <w:r>
        <w:t xml:space="preserve">Modeli binomial jep gjithashtu</w:t>
      </w:r>
    </w:p>
    <w:p>
      <w:pPr>
        <w:pStyle w:val="BodyText"/>
      </w:pPr>
      <ns5:oMathPara>
        <ns5:oMathParaPr>
          <ns5:jc ns5:val="center"/>
        </ns5:oMathParaPr>
        <ns5:oMath>
          <ns5:r>
            <ns5:t>E</ns5:t>
          </ns5:r>
          <ns5:d>
            <ns5:dPr>
              <ns5:begChr ns5:val="("/>
              <ns5:sepChr ns5:val=""/>
              <ns5:endChr ns5:val=")"/>
              <ns5:grow/>
            </ns5:dPr>
            <ns5:e>
              <ns5:r>
                <ns5:t>X</ns5:t>
              </ns5:r>
            </ns5:e>
          </ns5:d>
          <ns5:r>
            <ns5:rPr>
              <ns5:sty ns5:val="p"/>
            </ns5:rPr>
            <ns5:t>=</ns5:t>
          </ns5:r>
          <ns5:r>
            <ns5:t>n</ns5:t>
          </ns5:r>
          <ns5:r>
            <ns5:t>p</ns5:t>
          </ns5:r>
          <ns5:r>
            <ns5:rPr>
              <ns5:sty ns5:val="p"/>
            </ns5:rPr>
            <ns5:t>,</ns5:t>
          </ns5:r>
          <ns5:r>
            <ns5:t>  </ns5:t>
          </ns5:r>
          <ns5:r>
            <ns5:t>V</ns5:t>
          </ns5:r>
          <ns5:r>
            <ns5:t>a</ns5:t>
          </ns5:r>
          <ns5:r>
            <ns5:t>r</ns5:t>
          </ns5:r>
          <ns5:d>
            <ns5:dPr>
              <ns5:begChr ns5:val="("/>
              <ns5:sepChr ns5:val=""/>
              <ns5:endChr ns5:val=")"/>
              <ns5:grow/>
            </ns5:dPr>
            <ns5:e>
              <ns5:r>
                <ns5:t>X</ns5:t>
              </ns5:r>
            </ns5:e>
          </ns5:d>
          <ns5:r>
            <ns5:rPr>
              <ns5:sty ns5:val="p"/>
            </ns5:rPr>
            <ns5:t>=</ns5:t>
          </ns5:r>
          <ns5:r>
            <ns5:t>n</ns5:t>
          </ns5:r>
          <ns5:r>
            <ns5:t>p</ns5:t>
          </ns5:r>
          <ns5:d>
            <ns5:dPr>
              <ns5:begChr ns5:val="("/>
              <ns5:sepChr ns5:val=""/>
              <ns5:endChr ns5:val=")"/>
              <ns5:grow/>
            </ns5:dPr>
            <ns5:e>
              <ns5:r>
                <ns5:t>1</ns5:t>
              </ns5:r>
              <ns5:r>
                <ns5:rPr>
                  <ns5:sty ns5:val="p"/>
                </ns5:rPr>
                <ns5:t>−</ns5:t>
              </ns5:r>
              <ns5:r>
                <ns5:t>p</ns5:t>
              </ns5:r>
            </ns5:e>
          </ns5:d>
          <ns5:r>
            <ns5:rPr>
              <ns5:sty ns5:val="p"/>
            </ns5:rPr>
            <ns5:t>.</ns5:t>
          </ns5:r>
        </ns5:oMath>
      </ns5:oMathPara>
    </w:p>
    <w:p>
      <w:pPr>
        <w:pStyle w:val="FirstParagraph"/>
      </w:pPr>
      <w:r>
        <w:t xml:space="preserve">Një bisht i sipërm si</w:t>
      </w:r>
      <w:r>
        <w:t xml:space="preserve"> </w:t>
      </w:r>
      <ns5:oMath>
        <ns5:r>
          <ns5:t>P</ns5:t>
        </ns5:r>
        <ns5:d>
          <ns5:dPr>
            <ns5:begChr ns5:val="("/>
            <ns5:sepChr ns5:val=""/>
            <ns5:endChr ns5:val=")"/>
            <ns5:grow/>
          </ns5:dPr>
          <ns5:e>
            <ns5:r>
              <ns5:t>X</ns5:t>
            </ns5:r>
            <ns5:r>
              <ns5:rPr>
                <ns5:sty ns5:val="p"/>
              </ns5:rPr>
              <ns5:t>&gt;</ns5:t>
            </ns5:r>
            <ns5:r>
              <ns5:t>k</ns5:t>
            </ns5:r>
          </ns5:e>
        </ns5:d>
      </ns5:oMath>
      <w:r>
        <w:t xml:space="preserve"> </w:t>
      </w:r>
      <w:r>
        <w:t xml:space="preserve">mund të llogaritet përmes plotësueses së tij,</w:t>
      </w:r>
      <w:r>
        <w:t xml:space="preserve"> </w:t>
      </w:r>
      <ns5:oMath>
        <ns5:r>
          <ns5:t>1</ns5:t>
        </ns5:r>
        <ns5:r>
          <ns5:rPr>
            <ns5:sty ns5:val="p"/>
          </ns5:rPr>
          <ns5:t>−</ns5:t>
        </ns5:r>
        <ns5:r>
          <ns5:t>P</ns5:t>
        </ns5:r>
        <ns5:d>
          <ns5:dPr>
            <ns5:begChr ns5:val="("/>
            <ns5:sepChr ns5:val=""/>
            <ns5:endChr ns5:val=")"/>
            <ns5:grow/>
          </ns5:dPr>
          <ns5:e>
            <ns5:r>
              <ns5:t>X</ns5:t>
            </ns5:r>
            <ns5:r>
              <ns5:rPr>
                <ns5:sty ns5:val="p"/>
              </ns5:rPr>
              <ns5:t>≤</ns5:t>
            </ns5:r>
            <ns5:r>
              <ns5:t>k</ns5:t>
            </ns5:r>
          </ns5:e>
        </ns5:d>
      </ns5:oMath>
      <w:r>
        <w:t xml:space="preserve">. Modeli kërkon një numër të fiksuar provash, dy rezultate në secilën provë, një</w:t>
      </w:r>
      <w:r>
        <w:t xml:space="preserve"> </w:t>
      </w:r>
      <ns5:oMath>
        <ns5:r>
          <ns5:t>p</ns5:t>
        </ns5:r>
      </ns5:oMath>
      <w:r>
        <w:t xml:space="preserve"> </w:t>
      </w:r>
      <w:r>
        <w:t xml:space="preserve">të pandryshueshëm dhe prova të pavarura.</w:t>
      </w:r>
    </w:p>
    <w:p>
      <w:pPr>
        <w:pStyle w:val="BodyText"/>
      </w:pPr>
      <w:r>
        <w:t xml:space="preserve">Për një ndryshore normale</w:t>
      </w:r>
      <w:r>
        <w:t xml:space="preserve"> </w:t>
      </w:r>
      <ns5:oMath>
        <ns5:r>
          <ns5:t>X</ns5:t>
        </ns5:r>
        <ns5:r>
          <ns5:rPr>
            <ns5:sty ns5:val="p"/>
          </ns5:rPr>
          <ns5:t>∼</ns5:t>
        </ns5:r>
        <ns5:r>
          <ns5:t>N</ns5:t>
        </ns5:r>
        <ns5:d>
          <ns5:dPr>
            <ns5:begChr ns5:val="("/>
            <ns5:sepChr ns5:val=""/>
            <ns5:endChr ns5:val=")"/>
            <ns5:grow/>
          </ns5:dPr>
          <ns5:e>
            <ns5:r>
              <ns5:t>μ</ns5:t>
            </ns5:r>
            <ns5:r>
              <ns5:rPr>
                <ns5:sty ns5:val="p"/>
              </ns5:rPr>
              <ns5:t>,</ns5:t>
            </ns5:r>
            <ns5:sSup>
              <ns5:e>
                <ns5:r>
                  <ns5:t>σ</ns5:t>
                </ns5:r>
              </ns5:e>
              <ns5:sup>
                <ns5:r>
                  <ns5:t>2</ns5:t>
                </ns5:r>
              </ns5:sup>
            </ns5:sSup>
          </ns5:e>
        </ns5:d>
      </ns5:oMath>
      <w:r>
        <w:t xml:space="preserve">, standardizo një kufi me</w:t>
      </w:r>
    </w:p>
    <w:p>
      <w:pPr>
        <w:pStyle w:val="BodyText"/>
      </w:pPr>
      <ns5:oMathPara>
        <ns5:oMathParaPr>
          <ns5:jc ns5:val="center"/>
        </ns5:oMathParaPr>
        <ns5:oMath>
          <ns5:r>
            <ns5:t>Z</ns5:t>
          </ns5:r>
          <ns5:r>
            <ns5:rPr>
              <ns5:sty ns5:val="p"/>
            </ns5:rPr>
            <ns5:t>=</ns5:t>
          </ns5:r>
          <ns5:f>
            <ns5:fPr>
              <ns5:type ns5:val="bar"/>
            </ns5:fPr>
            <ns5:num>
              <ns5:r>
                <ns5:t>X</ns5:t>
              </ns5:r>
              <ns5:r>
                <ns5:rPr>
                  <ns5:sty ns5:val="p"/>
                </ns5:rPr>
                <ns5:t>−</ns5:t>
              </ns5:r>
              <ns5:r>
                <ns5:t>μ</ns5:t>
              </ns5:r>
            </ns5:num>
            <ns5:den>
              <ns5:r>
                <ns5:t>σ</ns5:t>
              </ns5:r>
            </ns5:den>
          </ns5:f>
          <ns5:r>
            <ns5:rPr>
              <ns5:sty ns5:val="p"/>
            </ns5:rPr>
            <ns5:t>.</ns5:t>
          </ns5:r>
        </ns5:oMath>
      </ns5:oMathPara>
    </w:p>
    <w:p>
      <w:pPr>
        <w:pStyle w:val="FirstParagraph"/>
      </w:pPr>
      <w:r>
        <w:t xml:space="preserve">Bishtat e poshtëm përdorin</w:t>
      </w:r>
      <w:r>
        <w:t xml:space="preserve"> </w:t>
      </w:r>
      <ns5:oMath>
        <ns5:r>
          <ns5:t>P</ns5:t>
        </ns5:r>
        <ns5:d>
          <ns5:dPr>
            <ns5:begChr ns5:val="("/>
            <ns5:sepChr ns5:val=""/>
            <ns5:endChr ns5:val=")"/>
            <ns5:grow/>
          </ns5:dPr>
          <ns5:e>
            <ns5:r>
              <ns5:t>X</ns5:t>
            </ns5:r>
            <ns5:r>
              <ns5:rPr>
                <ns5:sty ns5:val="p"/>
              </ns5:rPr>
              <ns5:t>≤</ns5:t>
            </ns5:r>
            <ns5:r>
              <ns5:t>x</ns5:t>
            </ns5:r>
          </ns5:e>
        </ns5:d>
        <ns5:r>
          <ns5:rPr>
            <ns5:sty ns5:val="p"/>
          </ns5:rPr>
          <ns5:t>=</ns5:t>
        </ns5:r>
        <ns5:r>
          <ns5:t>Φ</ns5:t>
        </ns5:r>
        <ns5:d>
          <ns5:dPr>
            <ns5:begChr ns5:val="("/>
            <ns5:sepChr ns5:val=""/>
            <ns5:endChr ns5:val=")"/>
            <ns5:grow/>
          </ns5:dPr>
          <ns5:e>
            <ns5:r>
              <ns5:t>z</ns5:t>
            </ns5:r>
          </ns5:e>
        </ns5:d>
      </ns5:oMath>
      <w:r>
        <w:t xml:space="preserve">, bishtat e sipërm përdorin</w:t>
      </w:r>
      <w:r>
        <w:t xml:space="preserve"> </w:t>
      </w:r>
      <ns5:oMath>
        <ns5:r>
          <ns5:t>1</ns5:t>
        </ns5:r>
        <ns5:r>
          <ns5:rPr>
            <ns5:sty ns5:val="p"/>
          </ns5:rPr>
          <ns5:t>−</ns5:t>
        </ns5:r>
        <ns5:r>
          <ns5:t>Φ</ns5:t>
        </ns5:r>
        <ns5:d>
          <ns5:dPr>
            <ns5:begChr ns5:val="("/>
            <ns5:sepChr ns5:val=""/>
            <ns5:endChr ns5:val=")"/>
            <ns5:grow/>
          </ns5:dPr>
          <ns5:e>
            <ns5:r>
              <ns5:t>z</ns5:t>
            </ns5:r>
          </ns5:e>
        </ns5:d>
      </ns5:oMath>
      <w:r>
        <w:t xml:space="preserve">, ndërsa për një interval zbriten dy sipërfaqe kumulative. Një pyetje e anasjelltë fillon me probabilitetin kumulativ</w:t>
      </w:r>
      <w:r>
        <w:t xml:space="preserve"> </w:t>
      </w:r>
      <ns5:oMath>
        <ns5:r>
          <ns5:t>q</ns5:t>
        </ns5:r>
      </ns5:oMath>
      <w:r>
        <w:t xml:space="preserve">, gjen</w:t>
      </w:r>
      <w:r>
        <w:t xml:space="preserve"> </w:t>
      </w:r>
      <ns5:oMath>
        <ns5:sSub>
          <ns5:e>
            <ns5:r>
              <ns5:t>z</ns5:t>
            </ns5:r>
          </ns5:e>
          <ns5:sub>
            <ns5:r>
              <ns5:t>q</ns5:t>
            </ns5:r>
          </ns5:sub>
        </ns5:sSub>
        <ns5:r>
          <ns5:rPr>
            <ns5:sty ns5:val="p"/>
          </ns5:rPr>
          <ns5:t>=</ns5:t>
        </ns5:r>
        <ns5:sSup>
          <ns5:e>
            <ns5:r>
              <ns5:t>Φ</ns5:t>
            </ns5:r>
          </ns5:e>
          <ns5:sup>
            <ns5:r>
              <ns5:rPr>
                <ns5:sty ns5:val="p"/>
              </ns5:rPr>
              <ns5:t>−</ns5:t>
            </ns5:r>
            <ns5:r>
              <ns5:t>1</ns5:t>
            </ns5:r>
          </ns5:sup>
        </ns5:sSup>
        <ns5:d>
          <ns5:dPr>
            <ns5:begChr ns5:val="("/>
            <ns5:sepChr ns5:val=""/>
            <ns5:endChr ns5:val=")"/>
            <ns5:grow/>
          </ns5:dPr>
          <ns5:e>
            <ns5:r>
              <ns5:t>q</ns5:t>
            </ns5:r>
          </ns5:e>
        </ns5:d>
      </ns5:oMath>
      <w:r>
        <w:t xml:space="preserve"> </w:t>
      </w:r>
      <w:r>
        <w:t xml:space="preserve">dhe kthehet në shkallën fillestare me</w:t>
      </w:r>
      <w:r>
        <w:t xml:space="preserve"> </w:t>
      </w:r>
      <ns5:oMath>
        <ns5:sSub>
          <ns5:e>
            <ns5:r>
              <ns5:t>x</ns5:t>
            </ns5:r>
          </ns5:e>
          <ns5:sub>
            <ns5:r>
              <ns5:t>q</ns5:t>
            </ns5:r>
          </ns5:sub>
        </ns5:sSub>
        <ns5:r>
          <ns5:rPr>
            <ns5:sty ns5:val="p"/>
          </ns5:rPr>
          <ns5:t>=</ns5:t>
        </ns5:r>
        <ns5:r>
          <ns5:t>μ</ns5:t>
        </ns5:r>
        <ns5:r>
          <ns5:rPr>
            <ns5:sty ns5:val="p"/>
          </ns5:rPr>
          <ns5:t>+</ns5:t>
        </ns5:r>
        <ns5:sSub>
          <ns5:e>
            <ns5:r>
              <ns5:t>z</ns5:t>
            </ns5:r>
          </ns5:e>
          <ns5:sub>
            <ns5:r>
              <ns5:t>q</ns5:t>
            </ns5:r>
          </ns5:sub>
        </ns5:sSub>
        <ns5:r>
          <ns5:t>σ</ns5:t>
        </ns5:r>
      </ns5:oMath>
      <w:r>
        <w:t xml:space="preserve">.</w:t>
      </w:r>
    </w:p>
    <w:p>
      <w:pPr>
        <w:pStyle w:val="BodyText"/>
      </w:pPr>
      <w:r>
        <w:t xml:space="preserve">Për vrojtime të pavarura me mesatare të popullatës</w:t>
      </w:r>
      <w:r>
        <w:t xml:space="preserve"> </w:t>
      </w:r>
      <ns5:oMath>
        <ns5:r>
          <ns5:t>μ</ns5:t>
        </ns5:r>
      </ns5:oMath>
      <w:r>
        <w:t xml:space="preserve"> </w:t>
      </w:r>
      <w:r>
        <w:t xml:space="preserve">dhe variancë</w:t>
      </w:r>
      <w:r>
        <w:t xml:space="preserve"> </w:t>
      </w:r>
      <ns5:oMath>
        <ns5:sSup>
          <ns5:e>
            <ns5:r>
              <ns5:t>σ</ns5:t>
            </ns5:r>
          </ns5:e>
          <ns5:sup>
            <ns5:r>
              <ns5:t>2</ns5:t>
            </ns5:r>
          </ns5:sup>
        </ns5:sSup>
      </ns5:oMath>
      <w:r>
        <w:t xml:space="preserve">, shpërndarja e kampionimit e mesatares së kampionit plotëson</w:t>
      </w:r>
    </w:p>
    <w:p>
      <w:pPr>
        <w:pStyle w:val="BodyText"/>
      </w:pPr>
      <ns5:oMathPara>
        <ns5:oMathParaPr>
          <ns5:jc ns5:val="center"/>
        </ns5:oMathParaPr>
        <ns5:oMath>
          <ns5:r>
            <ns5:t>E</ns5:t>
          </ns5:r>
          <ns5:d>
            <ns5:dPr>
              <ns5:begChr ns5:val="("/>
              <ns5:sepChr ns5:val=""/>
              <ns5:endChr ns5:val=")"/>
              <ns5:grow/>
            </ns5:dPr>
            <ns5:e>
              <ns5:acc>
                <ns5:accPr>
                  <ns5:chr ns5:val="‾"/>
                </ns5:accPr>
                <ns5:e>
                  <ns5:r>
                    <ns5:t>X</ns5:t>
                  </ns5:r>
                </ns5:e>
              </ns5:acc>
            </ns5:e>
          </ns5:d>
          <ns5:r>
            <ns5:rPr>
              <ns5:sty ns5:val="p"/>
            </ns5:rPr>
            <ns5:t>=</ns5:t>
          </ns5:r>
          <ns5:r>
            <ns5:t>μ</ns5:t>
          </ns5:r>
          <ns5:r>
            <ns5:rPr>
              <ns5:sty ns5:val="p"/>
            </ns5:rPr>
            <ns5:t>,</ns5:t>
          </ns5:r>
          <ns5:r>
            <ns5:t>  </ns5:t>
          </ns5:r>
          <ns5:r>
            <ns5:t>V</ns5:t>
          </ns5:r>
          <ns5:r>
            <ns5:t>a</ns5:t>
          </ns5:r>
          <ns5:r>
            <ns5:t>r</ns5:t>
          </ns5:r>
          <ns5:d>
            <ns5:dPr>
              <ns5:begChr ns5:val="("/>
              <ns5:sepChr ns5:val=""/>
              <ns5:endChr ns5:val=")"/>
              <ns5:grow/>
            </ns5:dPr>
            <ns5:e>
              <ns5:acc>
                <ns5:accPr>
                  <ns5:chr ns5:val="‾"/>
                </ns5:accPr>
                <ns5:e>
                  <ns5:r>
                    <ns5:t>X</ns5:t>
                  </ns5:r>
                </ns5:e>
              </ns5:acc>
            </ns5:e>
          </ns5:d>
          <ns5:r>
            <ns5:rPr>
              <ns5:sty ns5:val="p"/>
            </ns5:rPr>
            <ns5:t>=</ns5:t>
          </ns5:r>
          <ns5:f>
            <ns5:fPr>
              <ns5:type ns5:val="bar"/>
            </ns5:fPr>
            <ns5:num>
              <ns5:sSup>
                <ns5:e>
                  <ns5:r>
                    <ns5:t>σ</ns5:t>
                  </ns5:r>
                </ns5:e>
                <ns5:sup>
                  <ns5:r>
                    <ns5:t>2</ns5:t>
                  </ns5:r>
                </ns5:sup>
              </ns5:sSup>
            </ns5:num>
            <ns5:den>
              <ns5:r>
                <ns5:t>n</ns5:t>
              </ns5:r>
            </ns5:den>
          </ns5:f>
          <ns5:r>
            <ns5:rPr>
              <ns5:sty ns5:val="p"/>
            </ns5:rPr>
            <ns5:t>,</ns5:t>
          </ns5:r>
          <ns5:r>
            <ns5:t>  </ns5:t>
          </ns5:r>
          <ns5:r>
            <ns5:t>S</ns5:t>
          </ns5:r>
          <ns5:r>
            <ns5:t>E</ns5:t>
          </ns5:r>
          <ns5:d>
            <ns5:dPr>
              <ns5:begChr ns5:val="("/>
              <ns5:sepChr ns5:val=""/>
              <ns5:endChr ns5:val=")"/>
              <ns5:grow/>
            </ns5:dPr>
            <ns5:e>
              <ns5:acc>
                <ns5:accPr>
                  <ns5:chr ns5:val="‾"/>
                </ns5:accPr>
                <ns5:e>
                  <ns5:r>
                    <ns5:t>X</ns5:t>
                  </ns5:r>
                </ns5:e>
              </ns5:acc>
            </ns5:e>
          </ns5:d>
          <ns5:r>
            <ns5:rPr>
              <ns5:sty ns5:val="p"/>
            </ns5:rPr>
            <ns5:t>=</ns5:t>
          </ns5:r>
          <ns5:f>
            <ns5:fPr>
              <ns5:type ns5:val="bar"/>
            </ns5:fPr>
            <ns5:num>
              <ns5:r>
                <ns5:t>σ</ns5:t>
              </ns5:r>
            </ns5:num>
            <ns5:den>
              <ns5:rad>
                <ns5:radPr>
                  <ns5:degHide ns5:val="on"/>
                </ns5:radPr>
                <ns5:deg/>
                <ns5:e>
                  <ns5:r>
                    <ns5:t>n</ns5:t>
                  </ns5:r>
                </ns5:e>
              </ns5:rad>
            </ns5:den>
          </ns5:f>
          <ns5:r>
            <ns5:rPr>
              <ns5:sty ns5:val="p"/>
            </ns5:rPr>
            <ns5:t>.</ns5:t>
          </ns5:r>
        </ns5:oMath>
      </ns5:oMathPara>
    </w:p>
    <w:p>
      <w:pPr>
        <w:pStyle w:val="FirstParagraph"/>
      </w:pPr>
      <w:r>
        <w:t xml:space="preserve">Kur</w:t>
      </w:r>
      <w:r>
        <w:t xml:space="preserve"> </w:t>
      </w:r>
      <ns5:oMath>
        <ns5:r>
          <ns5:t>σ</ns5:t>
        </ns5:r>
      </ns5:oMath>
      <w:r>
        <w:t xml:space="preserve"> </w:t>
      </w:r>
      <w:r>
        <w:t xml:space="preserve">nuk dihet,</w:t>
      </w:r>
      <w:r>
        <w:t xml:space="preserve"> </w:t>
      </w:r>
      <ns5:oMath>
        <ns5:r>
          <ns5:t>s</ns5:t>
        </ns5:r>
        <ns5:r>
          <ns5:rPr>
            <ns5:sty ns5:val="p"/>
          </ns5:rPr>
          <ns5:t>/</ns5:t>
        </ns5:r>
        <ns5:rad>
          <ns5:radPr>
            <ns5:degHide ns5:val="on"/>
          </ns5:radPr>
          <ns5:deg/>
          <ns5:e>
            <ns5:r>
              <ns5:t>n</ns5:t>
            </ns5:r>
          </ns5:e>
        </ns5:rad>
      </ns5:oMath>
      <w:r>
        <w:t xml:space="preserve"> </w:t>
      </w:r>
      <w:r>
        <w:t xml:space="preserve">e vlerëson gabimin standard. Nëse popullata është normale, mesatarja e kampionit ka saktësisht shpërndarje normale. Për popullata të përshtatshme jonormale, shpërndarja e saj mund t’i afrohet normales ndërsa</w:t>
      </w:r>
      <w:r>
        <w:t xml:space="preserve"> </w:t>
      </w:r>
      <ns5:oMath>
        <ns5:r>
          <ns5:t>n</ns5:t>
        </ns5:r>
      </ns5:oMath>
      <w:r>
        <w:t xml:space="preserve"> </w:t>
      </w:r>
      <w:r>
        <w:t xml:space="preserve">rritet. Përshtatshmëria e këtij përafrimi varet nga forma e popullatës. Asnjë kufi i vetëm për madhësinë e kampionit nuk e garanton atë.</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762"/>
        <w:gridCol w:w="3333"/>
        <w:gridCol w:w="3429"/>
      </w:tblGrid>
      <w:tr>
        <w:trPr>
          <w:cantSplit/>
          <w:tblHeader w:val="on"/>
        </w:trPr>
        <w:tc>
          <w:tcPr>
            <w:tcW w:w="2762" w:type="dxa"/>
            <w:shd w:fill="EAF2F6"/>
            <w:vAlign w:val="center"/>
          </w:tcPr>
          <w:p>
            <w:pPr>
              <w:pStyle w:val="Compact"/>
              <w:keepLines/>
              <w:widowControl/>
              <w:spacing w:before="0" w:after="40" w:line="240" w:lineRule="auto"/>
              <w:jc w:val="left"/>
            </w:pPr>
            <w:r>
              <w:rPr>
                <w:b/>
                <w:color w:val="183B56"/>
                <w:sz w:val="20"/>
                <w:szCs w:val="20"/>
              </w:rPr>
              <w:t xml:space="preserve">Objekti</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Çfarë ndryshon</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Shpërhapja që duhet raportuar</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Shpërndarja e vlerave individuale</w:t>
            </w:r>
          </w:p>
        </w:tc>
        <w:tc>
          <w:tcPr>
            <w:tcW w:w="3333" w:type="dxa"/>
            <w:shd w:fill="F3F7F9"/>
            <w:vAlign w:val="top"/>
          </w:tcPr>
          <w:p>
            <w:pPr>
              <w:pStyle w:val="Compact"/>
              <w:keepLines/>
              <w:widowControl/>
              <w:spacing w:before="0" w:after="40" w:line="240" w:lineRule="auto"/>
              <w:jc w:val="left"/>
            </w:pPr>
            <w:r>
              <w:rPr>
                <w:sz w:val="20"/>
                <w:szCs w:val="20"/>
              </w:rPr>
              <w:t xml:space="preserve">Vrojtimet individuale</w:t>
            </w:r>
          </w:p>
        </w:tc>
        <w:tc>
          <w:tcPr>
            <w:tcW w:w="3429" w:type="dxa"/>
            <w:shd w:fill="F3F7F9"/>
            <w:vAlign w:val="top"/>
          </w:tcPr>
          <w:p>
            <w:pPr>
              <w:pStyle w:val="Compact"/>
              <w:keepLines/>
              <w:widowControl/>
              <w:spacing w:before="0" w:after="40" w:line="240" w:lineRule="auto"/>
              <w:jc w:val="left"/>
            </w:pPr>
            <w:r>
              <w:rPr>
                <w:sz w:val="20"/>
                <w:szCs w:val="20"/>
              </w:rPr>
              <w:t xml:space="preserve">Devijimi standard i popullatës ose i kampionit</w:t>
            </w:r>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Shpërndarja e kampionimit e</w:t>
            </w:r>
            <w:r>
              <w:rPr>
                <w:sz w:val="20"/>
                <w:szCs w:val="20"/>
              </w:rPr>
              <w:t xml:space="preserve"> </w:t>
            </w:r>
            <ns5:oMath>
              <ns5:acc>
                <ns5:accPr>
                  <ns5:chr ns5:val="‾"/>
                </ns5:accPr>
                <ns5:e>
                  <ns5:r>
                    <ns5:t>X</ns5:t>
                  </ns5:r>
                </ns5:e>
              </ns5:acc>
            </ns5:oMath>
          </w:p>
        </w:tc>
        <w:tc>
          <w:tcPr>
            <w:tcW w:w="3333" w:type="dxa"/>
            <w:shd w:fill="FFFFFF"/>
            <w:vAlign w:val="top"/>
          </w:tcPr>
          <w:p>
            <w:pPr>
              <w:pStyle w:val="Compact"/>
              <w:keepLines/>
              <w:widowControl/>
              <w:spacing w:before="0" w:after="40" w:line="240" w:lineRule="auto"/>
              <w:jc w:val="left"/>
            </w:pPr>
            <w:r>
              <w:rPr>
                <w:sz w:val="20"/>
                <w:szCs w:val="20"/>
              </w:rPr>
              <w:t xml:space="preserve">Mesataret e kampionit nëpër kampione të përsëritura</w:t>
            </w:r>
          </w:p>
        </w:tc>
        <w:tc>
          <w:tcPr>
            <w:tcW w:w="3429" w:type="dxa"/>
            <w:shd w:fill="FFFFFF"/>
            <w:vAlign w:val="top"/>
          </w:tcPr>
          <w:p>
            <w:pPr>
              <w:pStyle w:val="Compact"/>
              <w:keepLines/>
              <w:widowControl/>
              <w:spacing w:before="0" w:after="40" w:line="240" w:lineRule="auto"/>
              <w:jc w:val="left"/>
            </w:pPr>
            <w:r>
              <w:rPr>
                <w:sz w:val="20"/>
                <w:szCs w:val="20"/>
              </w:rPr>
              <w:t xml:space="preserve">Gabimi standard</w:t>
            </w:r>
            <w:r>
              <w:rPr>
                <w:sz w:val="20"/>
                <w:szCs w:val="20"/>
              </w:rPr>
              <w:t xml:space="preserve"> </w:t>
            </w:r>
            <ns5:oMath>
              <ns5:r>
                <ns5:t>σ</ns5:t>
              </ns5:r>
              <ns5:r>
                <ns5:rPr>
                  <ns5:sty ns5:val="p"/>
                </ns5:rPr>
                <ns5:t>/</ns5:t>
              </ns5:r>
              <ns5:rad>
                <ns5:radPr>
                  <ns5:degHide ns5:val="on"/>
                </ns5:radPr>
                <ns5:deg/>
                <ns5:e>
                  <ns5:r>
                    <ns5:t>n</ns5:t>
                  </ns5:r>
                </ns5:e>
              </ns5:rad>
            </ns5:oMath>
            <w:r>
              <w:rPr>
                <w:sz w:val="20"/>
                <w:szCs w:val="20"/>
              </w:rPr>
              <w:t xml:space="preserve"> </w:t>
            </w:r>
            <w:r>
              <w:rPr>
                <w:sz w:val="20"/>
                <w:szCs w:val="20"/>
              </w:rPr>
              <w:t xml:space="preserve">ose vlerësimi</w:t>
            </w:r>
            <w:r>
              <w:rPr>
                <w:sz w:val="20"/>
                <w:szCs w:val="20"/>
              </w:rPr>
              <w:t xml:space="preserve"> </w:t>
            </w:r>
            <ns5:oMath>
              <ns5:r>
                <ns5:t>s</ns5:t>
              </ns5:r>
              <ns5:r>
                <ns5:rPr>
                  <ns5:sty ns5:val="p"/>
                </ns5:rPr>
                <ns5:t>/</ns5:t>
              </ns5:r>
              <ns5:rad>
                <ns5:radPr>
                  <ns5:degHide ns5:val="on"/>
                </ns5:radPr>
                <ns5:deg/>
                <ns5:e>
                  <ns5:r>
                    <ns5:t>n</ns5:t>
                  </ns5:r>
                </ns5:e>
              </ns5:rad>
            </ns5:oMath>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Kampioni i realizuar me anshmëri</w:t>
            </w:r>
          </w:p>
        </w:tc>
        <w:tc>
          <w:tcPr>
            <w:tcW w:w="3333" w:type="dxa"/>
            <w:shd w:fill="F3F7F9"/>
            <w:vAlign w:val="top"/>
          </w:tcPr>
          <w:p>
            <w:pPr>
              <w:pStyle w:val="Compact"/>
              <w:keepLines/>
              <w:widowControl/>
              <w:spacing w:before="0" w:after="40" w:line="240" w:lineRule="auto"/>
              <w:jc w:val="left"/>
            </w:pPr>
            <w:r>
              <w:rPr>
                <w:sz w:val="20"/>
                <w:szCs w:val="20"/>
              </w:rPr>
              <w:t xml:space="preserve">Rastet e pranuara nga një kornizë ose proces përgjigjeje me të meta</w:t>
            </w:r>
          </w:p>
        </w:tc>
        <w:tc>
          <w:tcPr>
            <w:tcW w:w="3429" w:type="dxa"/>
            <w:shd w:fill="F3F7F9"/>
            <w:vAlign w:val="top"/>
          </w:tcPr>
          <w:p>
            <w:pPr>
              <w:pStyle w:val="Compact"/>
              <w:keepLines/>
              <w:widowControl/>
              <w:spacing w:before="0" w:after="40" w:line="240" w:lineRule="auto"/>
              <w:jc w:val="left"/>
            </w:pPr>
            <w:r>
              <w:rPr>
                <w:sz w:val="20"/>
                <w:szCs w:val="20"/>
              </w:rPr>
              <w:t xml:space="preserve">Një gabim standard më i vogël nuk e korrigjon anshmërinë e përzgjedhjes</w:t>
            </w:r>
          </w:p>
        </w:tc>
      </w:tr>
    </w:tbl>
    <w:bookmarkEnd w:id="39"/>
    <w:bookmarkStart w:id="44" w:name="si-lexohet-figura-shpjeguese"/>
    <w:p>
      <w:pPr>
        <w:pStyle w:val="Heading2"/>
      </w:pPr>
      <w:r>
        <w:t xml:space="preserve">Si lexohet figura shpjeguese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43" w:name="fig-summary-t02"/>
          <w:p>
            <w:pPr>
              <w:pStyle w:val="Compact"/>
              <w:keepNext/>
              <w:jc w:val="center"/>
            </w:pPr>
            <w:r>
              <w:drawing>
                <ns1:inline>
                  <ns1:extent cx="5561584" cy="3283344"/>
                  <ns1:effectExtent b="0" l="0" r="0" t="0"/>
                  <ns1:docPr descr="Katër panele përdorin pllaka me numra për të treguar bashkimin, prerjen, plotësuesen dhe ngjarjet e papajtueshme brenda së njëjtës hapësirë me dhjetë rezultate." title="Figura 1" id="41" name="Picture"/>
                  <ns2:graphic>
                    <ns2:graphicData uri="http://schemas.openxmlformats.org/drawingml/2006/picture">
                      <ns3:pic>
                        <ns3:nvPicPr>
                          <ns3:cNvPr descr="assets/topic-02-probability-summary-figure-sq.png" id="42" name="Picture"/>
                          <ns3:cNvPicPr>
                            <ns2:picLocks noChangeArrowheads="1" noChangeAspect="1"/>
                          </ns3:cNvPicPr>
                        </ns3:nvPicPr>
                        <ns3:blipFill>
                          <ns2:blip ns4:embed="rId40"/>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Figura 1: Katër panele përdorin pllaka me numra për të treguar bashkimin, prerjen, plotësuesen dhe ngjarjet e papajtueshme brenda së njëjtës hapësirë me dhjetë rezultate.</w:t>
            </w:r>
          </w:p>
          <w:bookmarkEnd w:id="43"/>
        </w:tc>
      </w:tr>
    </w:tbl>
    <w:p>
      <w:pPr>
        <w:pStyle w:val="BodyText"/>
      </w:pPr>
      <w:r>
        <w:t xml:space="preserve">Fillo me panelin lart majtas. Ngjarja</w:t>
      </w:r>
      <w:r>
        <w:t xml:space="preserve"> </w:t>
      </w:r>
      <ns5:oMath>
        <ns5:r>
          <ns5:t>A</ns5:t>
        </ns5:r>
      </ns5:oMath>
      <w:r>
        <w:t xml:space="preserve"> </w:t>
      </w:r>
      <w:r>
        <w:t xml:space="preserve">përmban 1, 2 dhe 3, ndërsa ngjarja</w:t>
      </w:r>
      <w:r>
        <w:t xml:space="preserve"> </w:t>
      </w:r>
      <ns5:oMath>
        <ns5:r>
          <ns5:t>D</ns5:t>
        </ns5:r>
      </ns5:oMath>
      <w:r>
        <w:t xml:space="preserve"> </w:t>
      </w:r>
      <w:r>
        <w:t xml:space="preserve">përmban 2, 3 dhe 7. Bashkimi i tyre thekson 1, 2, 3 dhe 7, sepse «ose» përfshin rezultatet që shfaqen në cilëndo ngjarje dhe rezultatet e përbashkëta. Paneli lart djathtas tregon prerjen. Vetëm 2 dhe 3 janë theksuar, sepse këto janë rezultatet e përbashkëta.</w:t>
      </w:r>
    </w:p>
    <w:p>
      <w:pPr>
        <w:pStyle w:val="BodyText"/>
      </w:pPr>
      <w:r>
        <w:t xml:space="preserve">Paneli poshtë majtas tregon plotësuesen e</w:t>
      </w:r>
      <w:r>
        <w:t xml:space="preserve"> </w:t>
      </w:r>
      <ns5:oMath>
        <ns5:r>
          <ns5:t>A</ns5:t>
        </ns5:r>
      </ns5:oMath>
      <w:r>
        <w:t xml:space="preserve">. Pllakat nga 4 deri në 10 janë theksuar, sepse çdo rezultat në hapësirën e rezultateve duhet të jetë ose në</w:t>
      </w:r>
      <w:r>
        <w:t xml:space="preserve"> </w:t>
      </w:r>
      <ns5:oMath>
        <ns5:r>
          <ns5:t>A</ns5:t>
        </ns5:r>
      </ns5:oMath>
      <w:r>
        <w:t xml:space="preserve">, ose jashtë</w:t>
      </w:r>
      <w:r>
        <w:t xml:space="preserve"> </w:t>
      </w:r>
      <ns5:oMath>
        <ns5:r>
          <ns5:t>A</ns5:t>
        </ns5:r>
      </ns5:oMath>
      <w:r>
        <w:t xml:space="preserve">. Paneli poshtë djathtas paraqet ngjarjen</w:t>
      </w:r>
      <w:r>
        <w:t xml:space="preserve"> </w:t>
      </w:r>
      <ns5:oMath>
        <ns5:r>
          <ns5:t>B</ns5:t>
        </ns5:r>
      </ns5:oMath>
      <w:r>
        <w:t xml:space="preserve">, e cila përmban 4, 5, 6 dhe 7.</w:t>
      </w:r>
      <w:r>
        <w:t xml:space="preserve"> </w:t>
      </w:r>
      <ns5:oMath>
        <ns5:r>
          <ns5:t>A</ns5:t>
        </ns5:r>
      </ns5:oMath>
      <w:r>
        <w:t xml:space="preserve"> </w:t>
      </w:r>
      <w:r>
        <w:t xml:space="preserve">dhe</w:t>
      </w:r>
      <w:r>
        <w:t xml:space="preserve"> </w:t>
      </w:r>
      <ns5:oMath>
        <ns5:r>
          <ns5:t>B</ns5:t>
        </ns5:r>
      </ns5:oMath>
      <w:r>
        <w:t xml:space="preserve"> </w:t>
      </w:r>
      <w:r>
        <w:t xml:space="preserve">nuk kanë pllaka të përbashkëta, prandaj janë të papajtueshme. Ngjyrat tregojnë përkatësinë dhe jo madhësinë e probabilitetit. Nëse dhjetë pllakat do të ishin njësoj të mundshme, numri i pllakave të theksuara mund të pjesëtohej me dhjetë. Nëse rezultatet nuk do të ishin njësoj të mundshme, numërimi i pllakave nuk do të mjaftonte dhe do të duheshin probabilitetet që u janë caktuar.</w:t>
      </w:r>
    </w:p>
    <w:p>
      <w:pPr>
        <w:pStyle w:val="BodyText"/>
      </w:pPr>
      <w:r>
        <w:t xml:space="preserve">Kjo figurë të ndihmon ta kontrollosh shënimin para se të përdorësh një formulë. Identifiko fillimisht pllakat përkatëse dhe pastaj ktheje atë bashkësi në një probabilitet. Ky rend zvogëlon gabimet e zakonshme, si trajtimi i «ose»-s si përjashtuese, harrimi i pjesës së përbashkët në rregullin e mbledhjes ose ngatërrimi i papajtueshmërisë me pavarësinë.</w:t>
      </w:r>
    </w:p>
    <w:bookmarkEnd w:id="44"/>
    <w:bookmarkStart w:id="45" w:name="lista-e-kontrollit-për-interpretim"/>
    <w:p>
      <w:pPr>
        <w:pStyle w:val="Heading2"/>
      </w:pPr>
      <w:r>
        <w:t xml:space="preserve">Lista e kontrollit për interpretim</w:t>
      </w:r>
    </w:p>
    <w:p>
      <w:pPr>
        <w:pStyle w:val="FirstParagraph"/>
      </w:pPr>
      <w:r>
        <w:t xml:space="preserve">Përkufizo procesin rastësor, hapësirën e rezultateve dhe secilën ngjarje me fjalë. Kontrollo nëse rezultatet janë njësoj të mundshme para se të përdorësh numërimet. Për probabilitetin e kushtëzuar, emërto kushtin dhe përdore si grup referues. Vizato një bashkësi, tabelë ose pemë probabiliteti kur drejtimi i kushtit të duket i paqartë. Dallo ngjarjet e papajtueshme nga ngjarjet e pavarura. Për një ndryshore të rastësishme, thuaj nëse është diskrete apo e vazhdueshme dhe përcakto çfarë përfaqëson një vlerë.</w:t>
      </w:r>
    </w:p>
    <w:p>
      <w:pPr>
        <w:pStyle w:val="BodyText"/>
      </w:pPr>
      <w:r>
        <w:t xml:space="preserve">Kur zgjedh një shpërndarje, përputhi supozimet e saj me procesin. Raporto nëse probabiliteti vjen nga një model teorik, një frekuencë relative e vrojtuar ose një simulim. Kujto se simulimi përafron pasojat e rregullave të deklaruara; ai nuk i rregullon supozimet e papërshtatshme. Për një shpërndarje kampionimi, mbaji vrojtimet individuale të ndara nga statistikat e kampionit dhe thuaj çfarë do të ndryshonte nëpër kampione të përsëritura.</w:t>
      </w:r>
    </w:p>
    <w:bookmarkEnd w:id="45"/>
    <w:bookmarkStart w:id="46" w:name="si-lidhet-kjo-temë-me-të-tjerat"/>
    <w:p>
      <w:pPr>
        <w:pStyle w:val="Heading2"/>
      </w:pPr>
      <w:r>
        <w:t xml:space="preserve">Si lidhet kjo temë me të tjerat</w:t>
      </w:r>
    </w:p>
    <w:p>
      <w:pPr>
        <w:pStyle w:val="FirstParagraph"/>
      </w:pPr>
      <w:r>
        <w:t xml:space="preserve">Statistika përshkruese e përmblodhi grupin e vrojtuar të të dhënave. Probabiliteti tani përshkruan si mund të ndryshojnë rezultatet nën një proces rastësor. Inferenca statistikore i bashkon këto ide: ajo përdor shpërndarjen e kampionimit të një statistike për të gjykuar sa pajtohet një rezultat i vrojtuar me një pohim për popullatën dhe për të shprehur pasigurinë rreth një vlerësimi.</w:t>
      </w:r>
    </w:p>
    <w:p>
      <w:pPr>
        <w:pStyle w:val="BodyText"/>
      </w:pPr>
      <w:r>
        <w:t xml:space="preserve">Edhe modelet e mëvonshme mbështeten te probabiliteti. Një koeficient korrelacioni ose regresioni ndryshon nga një kampion në tjetrin. Intervalet e besimit dhe testet e përshkruajnë këtë ndryshueshmëri me modele probabiliteti. Analiza e variancës krahason ndryshueshmërinë sistematike dhe reziduale përmes një shpërndarjeje</w:t>
      </w:r>
      <w:r>
        <w:t xml:space="preserve"> </w:t>
      </w:r>
      <ns5:oMath>
        <ns5:r>
          <ns5:t>F</ns5:t>
        </ns5:r>
      </ns5:oMath>
      <w:r>
        <w:t xml:space="preserve">. Shënimi bëhet më i pasur, por pyetjet qendrore mbeten të njohura: Cilat janë rezultatet e mundshme, cilat kushte po supozohen dhe cilën pasiguri përfaqëson probabiliteti?</w:t>
      </w:r>
    </w:p>
    <w:p>
      <w:pPr>
        <w:pBdr>
          <w:bottom w:val="single" w:sz="4" w:space="6" w:color="B8C6CF"/>
        </w:pBdr>
        <w:spacing w:before="60" w:after="100"/>
      </w:pPr>
    </w:p>
    <w:p>
      <w:pPr>
        <w:pStyle w:val="FirstParagraph"/>
      </w:pPr>
      <w:r>
        <w:rPr>
          <w:i/>
          <w:iCs/>
        </w:rPr>
        <w:t xml:space="preserve">ID-ja e dokumentit:</w:t>
      </w:r>
      <w:r>
        <w:rPr>
          <w:i/>
          <w:iCs/>
        </w:rPr>
        <w:t xml:space="preserve"> </w:t>
      </w:r>
      <w:r>
        <w:rPr>
          <w:rStyle w:val="VerbatimChar"/>
          <w:i/>
          <w:iCs/>
        </w:rPr>
        <w:t xml:space="preserve">topic-02-probability-summary-sq</w:t>
      </w:r>
    </w:p>
    <w:p>
      <w:r>
        <w:br w:type="page"/>
      </w:r>
    </w:p>
    <w:p>
      <w:pPr>
        <w:pStyle w:val="Heading1"/>
      </w:pPr>
      <w:r>
        <w:t>Shënime 1 nga 3</w:t>
      </w:r>
    </w:p>
    <w:p>
      <w:r>
        <w:rPr>
          <w:color w:val="526A79"/>
          <w:sz w:val="18"/>
          <w:szCs w:val="18"/>
        </w:rPr>
        <w:t>Probabiliteti | Tema 2</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Shënime 2 nga 3</w:t>
      </w:r>
    </w:p>
    <w:p>
      <w:r>
        <w:rPr>
          <w:color w:val="526A79"/>
          <w:sz w:val="18"/>
          <w:szCs w:val="18"/>
        </w:rPr>
        <w:t>Probabiliteti | Tema 2</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Shënime 3 nga 3</w:t>
      </w:r>
    </w:p>
    <w:p>
      <w:r>
        <w:rPr>
          <w:color w:val="526A79"/>
          <w:sz w:val="18"/>
          <w:szCs w:val="18"/>
        </w:rPr>
        <w:t>Probabiliteti | Tema 2</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46"/>
    <w:bookmarkEnd w:id="47"/>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num w:numId="1000">
    <w:abstractNumId w:val="990"/>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sq-AL" w:eastAsia="sq-AL" w:bidi="sq-AL"/>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sq-AL"/>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Probabiliteti</dc:title>
  <dc:creator>Ratiomera Statistics</dc:creator>
  <dc:language>sq-AL</dc:language>
  <cp:keywords/>
  <dcterms:created xsi:type="dcterms:W3CDTF">1970-01-01T00:00:00Z</dcterms:created>
  <dcterms:modified xsi:type="dcterms:W3CDTF">1970-01-01T00:00:00Z</dcterms:modified>
  <dc:subject>Përmbledhje teme nga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Një udhëzues për ngjarjet, arsyetimin e kushtëzuar dhe ndryshoret e rastësishme</vt:lpwstr>
  </property>
  <property fmtid="{D5CDD505-2E9C-101B-9397-08002B2CF9AE}" pid="13" name="toc-title">
    <vt:lpwstr>Përmbajtja</vt:lpwstr>
  </property>
</Properties>
</file>