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Testimi i hipotezave dhe intervalet e besimit</w:t>
      </w:r>
    </w:p>
    <w:p>
      <w:pPr>
        <w:pStyle w:val="Subtitle"/>
      </w:pPr>
      <w:r>
        <w:t xml:space="preserve">Nga evidenca e kampionit te përfundimet e kujdesshme për popullatën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sq/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Hyrje në Statistikë | Tema 3</w:t>
      </w:r>
    </w:p>
    <w:bookmarkStart w:id="28" w:name="përmbledhja-e-faqes-së-kursit"/>
    <w:p>
      <w:pPr>
        <w:pStyle w:val="Heading1"/>
      </w:pPr>
      <w:r>
        <w:t xml:space="preserve">Përmbledhja e faqes së kursit</w:t>
      </w:r>
    </w:p>
    <w:p>
      <w:pPr>
        <w:pStyle w:val="FirstParagraph"/>
      </w:pPr>
      <w:r>
        <w:t xml:space="preserve">Inferenca përdor një kampion për të mësuar rreth një popullate, duke e mbajtur të dukshme pasigurinë. Fillo me pyetjen kërkimore dhe dizajnin, emërto madhësinë e popullatës dhe vetëm pastaj zgjidh intervalin e besimit ose testin e hipotezës që përputhet me strukturën e të dhënave.</w:t>
      </w:r>
    </w:p>
    <w:bookmarkStart w:id="24" w:name="arsyetimi-kryesor"/>
    <w:p>
      <w:pPr>
        <w:pStyle w:val="Heading2"/>
      </w:pPr>
      <w:r>
        <w:t xml:space="preserve">Arsyetimi kryesor</w:t>
      </w:r>
    </w:p>
    <w:bookmarkStart w:id="23" w:name="tbl-summary-inference-reasoning"/>
    <w:p>
      <w:pPr>
        <w:pStyle w:val="TableCaption"/>
        <w:keepNext/>
        <w:keepLines/>
        <w:widowControl/>
        <w:spacing w:before="120" w:after="80"/>
        <w:jc w:val="left"/>
      </w:pPr>
      <w:r>
        <w:t xml:space="preserve">Tabela 1: Inferenca e besueshme lidh pyetjen kërkimore, dizajnin, llogaritjen dhe interpretimin.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095"/>
        <w:gridCol w:w="3524"/>
        <w:gridCol w:w="3905"/>
      </w:tblGrid>
      <w:tr>
        <w:trPr>
          <w:cantSplit/>
          <w:tblHeader w:val="on"/>
        </w:trPr>
        <w:tc>
          <w:tcPr>
            <w:tcW w:w="2095" w:type="dxa"/>
            <w:shd w:fill="EAF2F6"/>
            <w:vAlign w:val="center"/>
          </w:tcPr>
          <w:p>
            <w:pPr>
              <w:pStyle w:val="Compact"/>
              <w:keepLines/>
              <w:widowControl/>
              <w:spacing w:before="0" w:after="40" w:line="240" w:lineRule="auto"/>
              <w:jc w:val="left"/>
            </w:pPr>
            <w:r>
              <w:rPr>
                <w:b/>
                <w:color w:val="183B56"/>
                <w:sz w:val="20"/>
                <w:szCs w:val="20"/>
              </w:rPr>
              <w:t xml:space="preserve">Hapi</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Pyetja që duhet bërë</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Ideja kryesore</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1. Përcakto</w:t>
            </w:r>
          </w:p>
        </w:tc>
        <w:tc>
          <w:tcPr>
            <w:tcW w:w="3524" w:type="dxa"/>
            <w:shd w:fill="F3F7F9"/>
            <w:vAlign w:val="top"/>
          </w:tcPr>
          <w:p>
            <w:pPr>
              <w:pStyle w:val="Compact"/>
              <w:keepLines/>
              <w:widowControl/>
              <w:spacing w:before="0" w:after="40" w:line="240" w:lineRule="auto"/>
              <w:jc w:val="center"/>
            </w:pPr>
            <w:r>
              <w:rPr>
                <w:sz w:val="20"/>
                <w:szCs w:val="20"/>
              </w:rPr>
              <w:t xml:space="preserve">Cila madhësi e popullatës po studiohet?</w:t>
            </w:r>
          </w:p>
        </w:tc>
        <w:tc>
          <w:tcPr>
            <w:tcW w:w="3905" w:type="dxa"/>
            <w:shd w:fill="F3F7F9"/>
            <w:vAlign w:val="top"/>
          </w:tcPr>
          <w:p>
            <w:pPr>
              <w:pStyle w:val="Compact"/>
              <w:keepLines/>
              <w:widowControl/>
              <w:spacing w:before="0" w:after="40" w:line="240" w:lineRule="auto"/>
              <w:jc w:val="center"/>
            </w:pPr>
            <w:r>
              <w:rPr>
                <w:sz w:val="20"/>
                <w:szCs w:val="20"/>
              </w:rPr>
              <w:t xml:space="preserve">Shkruaj parametrin dhe hipotezën zero e alternative para llogaritjes</w:t>
            </w:r>
          </w:p>
        </w:tc>
      </w:tr>
      <w:tr>
        <w:trPr>
          <w:cantSplit/>
        </w:trPr>
        <w:tc>
          <w:tcPr>
            <w:tcW w:w="2095" w:type="dxa"/>
            <w:shd w:fill="FFFFFF"/>
            <w:vAlign w:val="top"/>
          </w:tcPr>
          <w:p>
            <w:pPr>
              <w:pStyle w:val="Compact"/>
              <w:keepLines/>
              <w:widowControl/>
              <w:spacing w:before="0" w:after="40" w:line="240" w:lineRule="auto"/>
              <w:jc w:val="center"/>
            </w:pPr>
            <w:r>
              <w:rPr>
                <w:sz w:val="20"/>
                <w:szCs w:val="20"/>
              </w:rPr>
              <w:t xml:space="preserve">2. Përputh</w:t>
            </w:r>
          </w:p>
        </w:tc>
        <w:tc>
          <w:tcPr>
            <w:tcW w:w="3524" w:type="dxa"/>
            <w:shd w:fill="FFFFFF"/>
            <w:vAlign w:val="top"/>
          </w:tcPr>
          <w:p>
            <w:pPr>
              <w:pStyle w:val="Compact"/>
              <w:keepLines/>
              <w:widowControl/>
              <w:spacing w:before="0" w:after="40" w:line="240" w:lineRule="auto"/>
              <w:jc w:val="center"/>
            </w:pPr>
            <w:r>
              <w:rPr>
                <w:sz w:val="20"/>
                <w:szCs w:val="20"/>
              </w:rPr>
              <w:t xml:space="preserve">A janë vrojtimet të pavarura, të çiftuara apo numërime kategorike?</w:t>
            </w:r>
          </w:p>
        </w:tc>
        <w:tc>
          <w:tcPr>
            <w:tcW w:w="3905" w:type="dxa"/>
            <w:shd w:fill="FFFFFF"/>
            <w:vAlign w:val="top"/>
          </w:tcPr>
          <w:p>
            <w:pPr>
              <w:pStyle w:val="Compact"/>
              <w:keepLines/>
              <w:widowControl/>
              <w:spacing w:before="0" w:after="40" w:line="240" w:lineRule="auto"/>
              <w:jc w:val="center"/>
            </w:pPr>
            <w:r>
              <w:rPr>
                <w:sz w:val="20"/>
                <w:szCs w:val="20"/>
              </w:rPr>
              <w:t xml:space="preserve">Dizajni përcakton gabimin standard dhe shpërndarjen referuese</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3. Llogarit</w:t>
            </w:r>
          </w:p>
        </w:tc>
        <w:tc>
          <w:tcPr>
            <w:tcW w:w="3524" w:type="dxa"/>
            <w:shd w:fill="F3F7F9"/>
            <w:vAlign w:val="top"/>
          </w:tcPr>
          <w:p>
            <w:pPr>
              <w:pStyle w:val="Compact"/>
              <w:keepLines/>
              <w:widowControl/>
              <w:spacing w:before="0" w:after="40" w:line="240" w:lineRule="auto"/>
              <w:jc w:val="center"/>
            </w:pPr>
            <w:r>
              <w:rPr>
                <w:sz w:val="20"/>
                <w:szCs w:val="20"/>
              </w:rPr>
              <w:t xml:space="preserve">Sa larg është vlerësimi nga vlera zero, matur në njësi të gabimit standard?</w:t>
            </w:r>
          </w:p>
        </w:tc>
        <w:tc>
          <w:tcPr>
            <w:tcW w:w="3905" w:type="dxa"/>
            <w:shd w:fill="F3F7F9"/>
            <w:vAlign w:val="top"/>
          </w:tcPr>
          <w:p>
            <w:pPr>
              <w:pStyle w:val="Compact"/>
              <w:keepLines/>
              <w:widowControl/>
              <w:spacing w:before="0" w:after="40" w:line="240" w:lineRule="auto"/>
              <w:jc w:val="center"/>
            </w:pPr>
            <w:r>
              <w:rPr>
                <w:sz w:val="20"/>
                <w:szCs w:val="20"/>
              </w:rPr>
              <w:t xml:space="preserve">Statistika e testit e standardizon mospërputhjen e vrojtuar</w:t>
            </w:r>
          </w:p>
        </w:tc>
      </w:tr>
      <w:tr>
        <w:trPr>
          <w:cantSplit/>
        </w:trPr>
        <w:tc>
          <w:tcPr>
            <w:tcW w:w="2095" w:type="dxa"/>
            <w:shd w:fill="FFFFFF"/>
            <w:vAlign w:val="top"/>
          </w:tcPr>
          <w:p>
            <w:pPr>
              <w:pStyle w:val="Compact"/>
              <w:keepLines/>
              <w:widowControl/>
              <w:spacing w:before="0" w:after="40" w:line="240" w:lineRule="auto"/>
              <w:jc w:val="center"/>
            </w:pPr>
            <w:r>
              <w:rPr>
                <w:sz w:val="20"/>
                <w:szCs w:val="20"/>
              </w:rPr>
              <w:t xml:space="preserve">4. Vlerëso</w:t>
            </w:r>
          </w:p>
        </w:tc>
        <w:tc>
          <w:tcPr>
            <w:tcW w:w="3524" w:type="dxa"/>
            <w:shd w:fill="FFFFFF"/>
            <w:vAlign w:val="top"/>
          </w:tcPr>
          <w:p>
            <w:pPr>
              <w:pStyle w:val="Compact"/>
              <w:keepLines/>
              <w:widowControl/>
              <w:spacing w:before="0" w:after="40" w:line="240" w:lineRule="auto"/>
              <w:jc w:val="center"/>
            </w:pPr>
            <w:r>
              <w:rPr>
                <w:sz w:val="20"/>
                <w:szCs w:val="20"/>
              </w:rPr>
              <w:t xml:space="preserve">Sa e pazakontë do të ishte kjo statistikë nëse modeli zero do të ishte i vërtetë?</w:t>
            </w:r>
          </w:p>
        </w:tc>
        <w:tc>
          <w:tcPr>
            <w:tcW w:w="3905" w:type="dxa"/>
            <w:shd w:fill="FFFFFF"/>
            <w:vAlign w:val="top"/>
          </w:tcPr>
          <w:p>
            <w:pPr>
              <w:pStyle w:val="Compact"/>
              <w:keepLines/>
              <w:widowControl/>
              <w:spacing w:before="0" w:after="40" w:line="240" w:lineRule="auto"/>
              <w:jc w:val="center"/>
            </w:pPr>
            <w:r>
              <w:rPr>
                <w:sz w:val="20"/>
                <w:szCs w:val="20"/>
              </w:rPr>
              <w:t xml:space="preserve">Vlera p është probabilitet i kushtëzuar nën modelin zero</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5. Përfundo</w:t>
            </w:r>
          </w:p>
        </w:tc>
        <w:tc>
          <w:tcPr>
            <w:tcW w:w="3524" w:type="dxa"/>
            <w:shd w:fill="F3F7F9"/>
            <w:vAlign w:val="top"/>
          </w:tcPr>
          <w:p>
            <w:pPr>
              <w:pStyle w:val="Compact"/>
              <w:keepLines/>
              <w:widowControl/>
              <w:spacing w:before="0" w:after="40" w:line="240" w:lineRule="auto"/>
              <w:jc w:val="center"/>
            </w:pPr>
            <w:r>
              <w:rPr>
                <w:sz w:val="20"/>
                <w:szCs w:val="20"/>
              </w:rPr>
              <w:t xml:space="preserve">Çfarë mbështet evidenca në nivelin e zgjedhur?</w:t>
            </w:r>
          </w:p>
        </w:tc>
        <w:tc>
          <w:tcPr>
            <w:tcW w:w="3905" w:type="dxa"/>
            <w:shd w:fill="F3F7F9"/>
            <w:vAlign w:val="top"/>
          </w:tcPr>
          <w:p>
            <w:pPr>
              <w:pStyle w:val="Compact"/>
              <w:keepLines/>
              <w:widowControl/>
              <w:spacing w:before="0" w:after="40" w:line="240" w:lineRule="auto"/>
              <w:jc w:val="center"/>
            </w:pPr>
            <w:r>
              <w:rPr>
                <w:sz w:val="20"/>
                <w:szCs w:val="20"/>
              </w:rPr>
              <w:t xml:space="preserve">Shpreh pohimin për popullatën, pasigurinë, drejtimin dhe kufizimet e studimit</w:t>
            </w:r>
          </w:p>
        </w:tc>
      </w:tr>
    </w:tbl>
    <w:bookmarkEnd w:id="23"/>
    <w:p/>
    <w:p>
      <w:pPr>
        <w:pStyle w:val="BodyText"/>
      </w:pPr>
      <w:r>
        <w:t xml:space="preserve">Për mesataren e kampionit me devijim standard të popullatës të vlerësuar, statistika për një kampion është</w:t>
      </w:r>
    </w:p>
    <w:p>
      <w:pPr>
        <w:pStyle w:val="BodyText"/>
      </w:pPr>
      <ns5:oMathPara>
        <ns5:oMathParaPr>
          <ns5:jc ns5:val="center"/>
        </ns5:oMathParaPr>
        <ns5:oMath>
          <ns5:r>
            <ns5:t>t</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s</ns5:t>
              </ns5:r>
              <ns5:r>
                <ns5:rPr>
                  <ns5:sty ns5:val="p"/>
                </ns5:rPr>
                <ns5:t>/</ns5:t>
              </ns5:r>
              <ns5:rad>
                <ns5:radPr>
                  <ns5:degHide ns5:val="on"/>
                </ns5:radPr>
                <ns5:deg/>
                <ns5:e>
                  <ns5:r>
                    <ns5:t>n</ns5:t>
                  </ns5:r>
                </ns5:e>
              </ns5:rad>
            </ns5:den>
          </ns5:f>
          <ns5:r>
            <ns5:rPr>
              <ns5:sty ns5:val="p"/>
            </ns5:rPr>
            <ns5:t>,</ns5:t>
          </ns5:r>
        </ns5:oMath>
      </ns5:oMathPara>
    </w:p>
    <w:p>
      <w:pPr>
        <w:pStyle w:val="FirstParagraph"/>
      </w:pPr>
      <w:r>
        <w:t xml:space="preserve">me</w:t>
      </w:r>
      <w:r>
        <w:t xml:space="preserve"> </w:t>
      </w:r>
      <ns5:oMath>
        <ns5:r>
          <ns5:t>n</ns5:t>
        </ns5:r>
        <ns5:r>
          <ns5:rPr>
            <ns5:sty ns5:val="p"/>
          </ns5:rPr>
          <ns5:t>−</ns5:t>
        </ns5:r>
        <ns5:r>
          <ns5:t>1</ns5:t>
        </ns5:r>
      </ns5:oMath>
      <w:r>
        <w:t xml:space="preserve"> </w:t>
      </w:r>
      <w:r>
        <w:t xml:space="preserve">shkallë lirie. Intervali i besimit përdor të njëjtin vlerësim dhe të njëjtin gabim standard:</w:t>
      </w:r>
    </w:p>
    <w:p>
      <w:pPr>
        <w:pStyle w:val="BodyText"/>
      </w:pPr>
      <ns5:oMathPara>
        <ns5:oMathParaPr>
          <ns5:jc ns5:val="center"/>
        </ns5:oMathParaPr>
        <ns5:oMath>
          <ns5:acc>
            <ns5:accPr>
              <ns5:chr ns5:val="‾"/>
            </ns5:accPr>
            <ns5:e>
              <ns5:r>
                <ns5:t>x</ns5:t>
              </ns5:r>
            </ns5:e>
          </ns5:acc>
          <ns5:r>
            <ns5:rPr>
              <ns5:sty ns5:val="p"/>
            </ns5:rPr>
            <ns5:t>±</ns5:t>
          </ns5:r>
          <ns5:sSup>
            <ns5:e>
              <ns5:r>
                <ns5:t>t</ns5:t>
              </ns5:r>
            </ns5:e>
            <ns5:sup>
              <ns5:r>
                <ns5:rPr>
                  <ns5:sty ns5:val="p"/>
                </ns5:rPr>
                <ns5:t>*</ns5:t>
              </ns5:r>
            </ns5:sup>
          </ns5:sSup>
          <ns5:f>
            <ns5:fPr>
              <ns5:type ns5:val="bar"/>
            </ns5:fPr>
            <ns5:num>
              <ns5:r>
                <ns5:t>s</ns5:t>
              </ns5:r>
            </ns5:num>
            <ns5:den>
              <ns5:rad>
                <ns5:radPr>
                  <ns5:degHide ns5:val="on"/>
                </ns5:radPr>
                <ns5:deg/>
                <ns5:e>
                  <ns5:r>
                    <ns5:t>n</ns5:t>
                  </ns5:r>
                </ns5:e>
              </ns5:rad>
            </ns5:den>
          </ns5:f>
          <ns5:r>
            <ns5:rPr>
              <ns5:sty ns5:val="p"/>
            </ns5:rPr>
            <ns5:t>.</ns5:t>
          </ns5:r>
        </ns5:oMath>
      </ns5:oMathPara>
    </w:p>
    <w:p>
      <w:pPr>
        <w:pStyle w:val="FirstParagraph"/>
      </w:pPr>
      <w:r>
        <w:t xml:space="preserve">Intervali jep një gamë mesataresh të popullatës që përputhen me të dhënat dhe modelin në nivelin e zgjedhur të besimit. Kuptimi i tij në kampione të përsëritura lidhet me metodën: në shumë kampione të krahasueshme, përqindja e deklaruar e intervaleve do ta përmbante parametrin fiks të popullatës.</w:t>
      </w:r>
    </w:p>
    <w:bookmarkEnd w:id="24"/>
    <w:bookmarkStart w:id="26" w:name="zgjidhe-procedurën-nga-dizajni"/>
    <w:p>
      <w:pPr>
        <w:pStyle w:val="Heading2"/>
      </w:pPr>
      <w:r>
        <w:t xml:space="preserve">Zgjidhe procedurën nga dizajni</w:t>
      </w:r>
    </w:p>
    <w:bookmarkStart w:id="25" w:name="tbl-summary-procedure-design"/>
    <w:p>
      <w:pPr>
        <w:pStyle w:val="TableCaption"/>
        <w:keepNext/>
        <w:keepLines/>
        <w:widowControl/>
        <w:spacing w:before="120" w:after="80"/>
        <w:jc w:val="left"/>
      </w:pPr>
      <w:r>
        <w:t xml:space="preserve">Tabela 2: Numra që duken njësoj mund të kërkojnë procedura të ndryshme kur ndryshon struktura e varësisë mes tyre.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619"/>
        <w:gridCol w:w="2953"/>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Struktura e të dhënave</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Pyetja</w:t>
            </w:r>
          </w:p>
        </w:tc>
        <w:tc>
          <w:tcPr>
            <w:tcW w:w="2953" w:type="dxa"/>
            <w:shd w:fill="EAF2F6"/>
            <w:vAlign w:val="center"/>
          </w:tcPr>
          <w:p>
            <w:pPr>
              <w:pStyle w:val="Compact"/>
              <w:keepLines/>
              <w:widowControl/>
              <w:spacing w:before="0" w:after="40" w:line="240" w:lineRule="auto"/>
              <w:jc w:val="left"/>
            </w:pPr>
            <w:r>
              <w:rPr>
                <w:b/>
                <w:color w:val="183B56"/>
                <w:sz w:val="20"/>
                <w:szCs w:val="20"/>
              </w:rPr>
              <w:t xml:space="preserve">Procedura që përdoret këtu</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Një kampion sasior</w:t>
            </w:r>
          </w:p>
        </w:tc>
        <w:tc>
          <w:tcPr>
            <w:tcW w:w="3619" w:type="dxa"/>
            <w:shd w:fill="F3F7F9"/>
            <w:vAlign w:val="top"/>
          </w:tcPr>
          <w:p>
            <w:pPr>
              <w:pStyle w:val="Compact"/>
              <w:keepLines/>
              <w:widowControl/>
              <w:spacing w:before="0" w:after="40" w:line="240" w:lineRule="auto"/>
              <w:jc w:val="center"/>
            </w:pPr>
            <w:r>
              <w:rPr>
                <w:sz w:val="20"/>
                <w:szCs w:val="20"/>
              </w:rPr>
              <w:t xml:space="preserve">A ndryshon mesatarja e një popullate nga një vlerë referuese?</w:t>
            </w:r>
          </w:p>
        </w:tc>
        <w:tc>
          <w:tcPr>
            <w:tcW w:w="2953" w:type="dxa"/>
            <w:shd w:fill="F3F7F9"/>
            <w:vAlign w:val="top"/>
          </w:tcPr>
          <w:p>
            <w:pPr>
              <w:pStyle w:val="Compact"/>
              <w:keepLines/>
              <w:widowControl/>
              <w:spacing w:before="0" w:after="40" w:line="240" w:lineRule="auto"/>
              <w:jc w:val="center"/>
            </w:pPr>
            <w:r>
              <w:rPr>
                <w:sz w:val="20"/>
                <w:szCs w:val="20"/>
              </w:rPr>
              <w:t xml:space="preserve">Procedura</w:t>
            </w:r>
            <w:r>
              <w:rPr>
                <w:sz w:val="20"/>
                <w:szCs w:val="20"/>
              </w:rPr>
              <w:t xml:space="preserve"> </w:t>
            </w:r>
            <ns5:oMath>
              <ns5:r>
                <ns5:t>t</ns5:t>
              </ns5:r>
            </ns5:oMath>
            <w:r>
              <w:rPr>
                <w:sz w:val="20"/>
                <w:szCs w:val="20"/>
              </w:rPr>
              <w:t xml:space="preserve"> </w:t>
            </w:r>
            <w:r>
              <w:rPr>
                <w:sz w:val="20"/>
                <w:szCs w:val="20"/>
              </w:rPr>
              <w:t xml:space="preserve">për një kampion</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Dy grupe sasiore të pavarura</w:t>
            </w:r>
          </w:p>
        </w:tc>
        <w:tc>
          <w:tcPr>
            <w:tcW w:w="3619" w:type="dxa"/>
            <w:shd w:fill="FFFFFF"/>
            <w:vAlign w:val="top"/>
          </w:tcPr>
          <w:p>
            <w:pPr>
              <w:pStyle w:val="Compact"/>
              <w:keepLines/>
              <w:widowControl/>
              <w:spacing w:before="0" w:after="40" w:line="240" w:lineRule="auto"/>
              <w:jc w:val="center"/>
            </w:pPr>
            <w:r>
              <w:rPr>
                <w:sz w:val="20"/>
                <w:szCs w:val="20"/>
              </w:rPr>
              <w:t xml:space="preserve">A ndryshojnë dy mesataret e popullatave?</w:t>
            </w:r>
          </w:p>
        </w:tc>
        <w:tc>
          <w:tcPr>
            <w:tcW w:w="2953" w:type="dxa"/>
            <w:shd w:fill="FFFFFF"/>
            <w:vAlign w:val="top"/>
          </w:tcPr>
          <w:p>
            <w:pPr>
              <w:pStyle w:val="Compact"/>
              <w:keepLines/>
              <w:widowControl/>
              <w:spacing w:before="0" w:after="40" w:line="240" w:lineRule="auto"/>
              <w:jc w:val="center"/>
            </w:pPr>
            <w:r>
              <w:rPr>
                <w:sz w:val="20"/>
                <w:szCs w:val="20"/>
              </w:rPr>
              <w:t xml:space="preserve">Procedura</w:t>
            </w:r>
            <w:r>
              <w:rPr>
                <w:sz w:val="20"/>
                <w:szCs w:val="20"/>
              </w:rPr>
              <w:t xml:space="preserve"> </w:t>
            </w:r>
            <ns5:oMath>
              <ns5:r>
                <ns5:t>t</ns5:t>
              </ns5:r>
            </ns5:oMath>
            <w:r>
              <w:rPr>
                <w:sz w:val="20"/>
                <w:szCs w:val="20"/>
              </w:rPr>
              <w:t xml:space="preserve"> </w:t>
            </w:r>
            <w:r>
              <w:rPr>
                <w:sz w:val="20"/>
                <w:szCs w:val="20"/>
              </w:rPr>
              <w:t xml:space="preserve">për kampione të pavarura</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Dy matje në të njëjtat raste</w:t>
            </w:r>
          </w:p>
        </w:tc>
        <w:tc>
          <w:tcPr>
            <w:tcW w:w="3619" w:type="dxa"/>
            <w:shd w:fill="F3F7F9"/>
            <w:vAlign w:val="top"/>
          </w:tcPr>
          <w:p>
            <w:pPr>
              <w:pStyle w:val="Compact"/>
              <w:keepLines/>
              <w:widowControl/>
              <w:spacing w:before="0" w:after="40" w:line="240" w:lineRule="auto"/>
              <w:jc w:val="center"/>
            </w:pPr>
            <w:r>
              <w:rPr>
                <w:sz w:val="20"/>
                <w:szCs w:val="20"/>
              </w:rPr>
              <w:t xml:space="preserve">A ndryshon nga zero mesatarja e popullatës e dallimeve brenda rastit?</w:t>
            </w:r>
          </w:p>
        </w:tc>
        <w:tc>
          <w:tcPr>
            <w:tcW w:w="2953" w:type="dxa"/>
            <w:shd w:fill="F3F7F9"/>
            <w:vAlign w:val="top"/>
          </w:tcPr>
          <w:p>
            <w:pPr>
              <w:pStyle w:val="Compact"/>
              <w:keepLines/>
              <w:widowControl/>
              <w:spacing w:before="0" w:after="40" w:line="240" w:lineRule="auto"/>
              <w:jc w:val="center"/>
            </w:pPr>
            <w:r>
              <w:rPr>
                <w:sz w:val="20"/>
                <w:szCs w:val="20"/>
              </w:rPr>
              <w:t xml:space="preserve">Procedura</w:t>
            </w:r>
            <w:r>
              <w:rPr>
                <w:sz w:val="20"/>
                <w:szCs w:val="20"/>
              </w:rPr>
              <w:t xml:space="preserve"> </w:t>
            </w:r>
            <ns5:oMath>
              <ns5:r>
                <ns5:t>t</ns5:t>
              </ns5:r>
            </ns5:oMath>
            <w:r>
              <w:rPr>
                <w:sz w:val="20"/>
                <w:szCs w:val="20"/>
              </w:rPr>
              <w:t xml:space="preserve"> </w:t>
            </w:r>
            <w:r>
              <w:rPr>
                <w:sz w:val="20"/>
                <w:szCs w:val="20"/>
              </w:rPr>
              <w:t xml:space="preserve">e çiftuar</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Dy ndryshore kategorike</w:t>
            </w:r>
          </w:p>
        </w:tc>
        <w:tc>
          <w:tcPr>
            <w:tcW w:w="3619" w:type="dxa"/>
            <w:shd w:fill="FFFFFF"/>
            <w:vAlign w:val="top"/>
          </w:tcPr>
          <w:p>
            <w:pPr>
              <w:pStyle w:val="Compact"/>
              <w:keepLines/>
              <w:widowControl/>
              <w:spacing w:before="0" w:after="40" w:line="240" w:lineRule="auto"/>
              <w:jc w:val="center"/>
            </w:pPr>
            <w:r>
              <w:rPr>
                <w:sz w:val="20"/>
                <w:szCs w:val="20"/>
              </w:rPr>
              <w:t xml:space="preserve">A janë ndryshoret të pavarura në popullatë?</w:t>
            </w:r>
          </w:p>
        </w:tc>
        <w:tc>
          <w:tcPr>
            <w:tcW w:w="2953" w:type="dxa"/>
            <w:shd w:fill="FFFFFF"/>
            <w:vAlign w:val="top"/>
          </w:tcPr>
          <w:p>
            <w:pPr>
              <w:pStyle w:val="Compact"/>
              <w:keepLines/>
              <w:widowControl/>
              <w:spacing w:before="0" w:after="40" w:line="240" w:lineRule="auto"/>
              <w:jc w:val="center"/>
            </w:pPr>
            <w:r>
              <w:rPr>
                <w:sz w:val="20"/>
                <w:szCs w:val="20"/>
              </w:rPr>
              <w:t xml:space="preserve">Testi hi-katror i pavarësisë</w:t>
            </w:r>
          </w:p>
        </w:tc>
      </w:tr>
    </w:tbl>
    <w:bookmarkEnd w:id="25"/>
    <w:p/>
    <w:bookmarkEnd w:id="26"/>
    <w:bookmarkStart w:id="27" w:name="listë-kontrolli-për-interpretimin"/>
    <w:p>
      <w:pPr>
        <w:pStyle w:val="Heading2"/>
      </w:pPr>
      <w:r>
        <w:t xml:space="preserve">Listë kontrolli për interpretimin</w:t>
      </w:r>
    </w:p>
    <w:p>
      <w:pPr>
        <w:pStyle w:val="Compact"/>
        <w:numPr>
          <w:ilvl w:val="0"/>
          <w:numId w:val="1001"/>
        </w:numPr>
      </w:pPr>
      <w:r>
        <w:t xml:space="preserve">Vlera p është probabiliteti i të dhënave të paktën kaq të papajtueshme me modelin zero, duke supozuar atë model dhe kushtet e tij. Nuk është probabiliteti që hipoteza zero është e vërtetë.</w:t>
      </w:r>
    </w:p>
    <w:p>
      <w:pPr>
        <w:pStyle w:val="Compact"/>
        <w:numPr>
          <w:ilvl w:val="0"/>
          <w:numId w:val="1001"/>
        </w:numPr>
      </w:pPr>
      <w:r>
        <w:t xml:space="preserve">Vendimi për ta refuzuar nuk është provë, ndërsa vendimi për të mos e refuzuar nuk është provë e barazisë.</w:t>
      </w:r>
    </w:p>
    <w:p>
      <w:pPr>
        <w:pStyle w:val="Compact"/>
        <w:numPr>
          <w:ilvl w:val="0"/>
          <w:numId w:val="1001"/>
        </w:numPr>
      </w:pPr>
      <w:r>
        <w:t xml:space="preserve">Domethënia statistikore nuk tregon madhësinë e efektit, rëndësinë praktike, cilësinë e matjes apo shkakësinë.</w:t>
      </w:r>
    </w:p>
    <w:p>
      <w:pPr>
        <w:pStyle w:val="Compact"/>
        <w:numPr>
          <w:ilvl w:val="0"/>
          <w:numId w:val="1001"/>
        </w:numPr>
      </w:pPr>
      <w:r>
        <w:t xml:space="preserve">Gabimi i llojit I do të thotë refuzim i një hipoteze zero të vërtetë. Gabimi i llojit II do të thotë mosrefuzim i një hipoteze zero të rreme. Fuqia është probabiliteti i refuzimit të hipotezës zero kur alternativa e përcaktuar është e vërtetë.</w:t>
      </w:r>
    </w:p>
    <w:p>
      <w:pPr>
        <w:pStyle w:val="Compact"/>
        <w:numPr>
          <w:ilvl w:val="0"/>
          <w:numId w:val="1001"/>
        </w:numPr>
      </w:pPr>
      <w:r>
        <w:t xml:space="preserve">Një kampion më i madh mund ta zvogëlojë gabimin standard dhe ta rrisë fuqinë, por nuk korrigjon kampionimin e anuar, matjen e dobët, varësinë që modeli e shpërfill ose një dizajn të dobët.</w:t>
      </w:r>
    </w:p>
    <w:p>
      <w:pPr>
        <w:pStyle w:val="FirstParagraph"/>
      </w:pPr>
      <w:r>
        <w:t xml:space="preserve">Tema 3 jep gjuhën inferenciale që përdoret në çdo temë të mëvonshme. Korrelacioni, regresioni, korrelacioni i pjesshëm, regresioni i shumëfishtë dhe ANOVA e ndryshojnë parametrin dhe modelin, por ruajnë të njëjtën disiplinë: përcakto pyetjen, respekto dizajnin, mat pasigurinë dhe mbaje përfundimin brenda shtrirjes së evidencës.</w:t>
      </w:r>
    </w:p>
    <w:bookmarkEnd w:id="27"/>
    <w:bookmarkEnd w:id="28"/>
    <w:bookmarkStart w:id="39" w:name="referencë-e-zgjeruar"/>
    <w:p>
      <w:pPr>
        <w:pStyle w:val="Heading1"/>
        <w:pageBreakBefore/>
      </w:pPr>
      <w:r>
        <w:t xml:space="preserve">Referencë e zgjeruar</w:t>
      </w:r>
    </w:p>
    <w:bookmarkStart w:id="29" w:name="qëllimi-dhe-bazat"/>
    <w:p>
      <w:pPr>
        <w:pStyle w:val="Heading2"/>
      </w:pPr>
      <w:r>
        <w:t xml:space="preserve">Qëllimi dhe bazat</w:t>
      </w:r>
    </w:p>
    <w:p>
      <w:pPr>
        <w:pStyle w:val="FirstParagraph"/>
      </w:pPr>
      <w:r>
        <w:t xml:space="preserve">Inferenca statistikore përdor informacionin nga një kampion për të mësuar rreth një popullate, duke pranuar njëkohësisht pasigurinë e kampionimit.</w:t>
      </w:r>
      <w:r>
        <w:t xml:space="preserve"> </w:t>
      </w:r>
      <w:r>
        <w:rPr>
          <w:b/>
          <w:bCs/>
        </w:rPr>
        <w:t xml:space="preserve">Popullata</w:t>
      </w:r>
      <w:r>
        <w:t xml:space="preserve"> </w:t>
      </w:r>
      <w:r>
        <w:t xml:space="preserve">është grupi i plotë i rasteve që përfshin pyetja kërkimore.</w:t>
      </w:r>
      <w:r>
        <w:t xml:space="preserve"> </w:t>
      </w:r>
      <w:r>
        <w:rPr>
          <w:b/>
          <w:bCs/>
        </w:rPr>
        <w:t xml:space="preserve">Kampioni</w:t>
      </w:r>
      <w:r>
        <w:t xml:space="preserve"> </w:t>
      </w:r>
      <w:r>
        <w:t xml:space="preserve">është nëngrupi që është vrojtuar.</w:t>
      </w:r>
      <w:r>
        <w:t xml:space="preserve"> </w:t>
      </w:r>
      <w:r>
        <w:rPr>
          <w:b/>
          <w:bCs/>
        </w:rPr>
        <w:t xml:space="preserve">Parametri</w:t>
      </w:r>
      <w:r>
        <w:t xml:space="preserve"> </w:t>
      </w:r>
      <w:r>
        <w:t xml:space="preserve">është një veçori numerike e popullatës, si mesatarja e popullatës</w:t>
      </w:r>
      <w:r>
        <w:t xml:space="preserve"> </w:t>
      </w:r>
      <ns5:oMath>
        <ns5:r>
          <ns5:t>μ</ns5:t>
        </ns5:r>
      </ns5:oMath>
      <w:r>
        <w:t xml:space="preserve">.</w:t>
      </w:r>
      <w:r>
        <w:t xml:space="preserve"> </w:t>
      </w:r>
      <w:r>
        <w:rPr>
          <w:b/>
          <w:bCs/>
        </w:rPr>
        <w:t xml:space="preserve">Statistika</w:t>
      </w:r>
      <w:r>
        <w:t xml:space="preserve"> </w:t>
      </w:r>
      <w:r>
        <w:t xml:space="preserve">është madhësia përkatëse që llogaritet nga kampioni, si mesatarja e kampionit</w:t>
      </w:r>
      <w:r>
        <w:t xml:space="preserve"> </w:t>
      </w:r>
      <ns5:oMath>
        <ns5:acc>
          <ns5:accPr>
            <ns5:chr ns5:val="‾"/>
          </ns5:accPr>
          <ns5:e>
            <ns5:r>
              <ns5:t>x</ns5:t>
            </ns5:r>
          </ns5:e>
        </ns5:acc>
      </ns5:oMath>
      <w:r>
        <w:t xml:space="preserve">. Statistika dihet pasi mblidhen të dhënat; parametri zakonisht mbetet i panjohur.</w:t>
      </w:r>
    </w:p>
    <w:p>
      <w:pPr>
        <w:pStyle w:val="BodyText"/>
      </w:pPr>
      <w:r>
        <w:t xml:space="preserve">Nëse do të merrej një kampion i ri i rastësishëm nga e njëjta popullatë, statistika e tij zakonisht do të ndryshonte. Shpërndarja hipotetike e asaj statistike nëpër kampione të përsëritura quhet</w:t>
      </w:r>
      <w:r>
        <w:t xml:space="preserve"> </w:t>
      </w:r>
      <w:r>
        <w:rPr>
          <w:b/>
          <w:bCs/>
        </w:rPr>
        <w:t xml:space="preserve">shpërndarja e kampionimit</w:t>
      </w:r>
      <w:r>
        <w:t xml:space="preserve">. Devijimi i saj standard quhet</w:t>
      </w:r>
      <w:r>
        <w:t xml:space="preserve"> </w:t>
      </w:r>
      <w:r>
        <w:rPr>
          <w:b/>
          <w:bCs/>
        </w:rPr>
        <w:t xml:space="preserve">gabimi standard</w:t>
      </w:r>
      <w:r>
        <w:t xml:space="preserve">. Gabimi standard mat ndryshueshmërinë e një vlerësimi nga një kampion në tjetrin. Ai nuk mat shpërhapjen e vrojtimeve individuale, e cila është detyra e devijimit standard të zakonshëm.</w:t>
      </w:r>
    </w:p>
    <w:p>
      <w:pPr>
        <w:pStyle w:val="BodyText"/>
      </w:pPr>
      <w:r>
        <w:t xml:space="preserve">Inferenca varet nga më shumë se një formulë. Kampioni duhet të lidhet në mënyrë të besueshme me popullatën, vrojtimet duhet t’u përshtaten supozimeve të metodës për varësinë dhe matja duhet ta përfaqësojë ndryshoren e synuar. Një gabim i vogël standard nuk mund ta korrigjojë anshmërinë e përzgjedhjes, matjen e dobët ose një dizajn të papërshtatshëm. Fillo me pyetjen kërkimore dhe dizajnin e studimit, pastaj shqyrto statistikat përshkruese dhe vetëm atëherë zgjidh një procedurë inferenciale.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3429"/>
        <w:gridCol w:w="3428"/>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Elementi</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Gjuha e kampionit</w:t>
            </w:r>
          </w:p>
        </w:tc>
        <w:tc>
          <w:tcPr>
            <w:tcW w:w="3428" w:type="dxa"/>
            <w:shd w:fill="EAF2F6"/>
            <w:vAlign w:val="center"/>
          </w:tcPr>
          <w:p>
            <w:pPr>
              <w:pStyle w:val="Compact"/>
              <w:keepLines/>
              <w:widowControl/>
              <w:spacing w:before="0" w:after="40" w:line="240" w:lineRule="auto"/>
              <w:jc w:val="left"/>
            </w:pPr>
            <w:r>
              <w:rPr>
                <w:b/>
                <w:color w:val="183B56"/>
                <w:sz w:val="20"/>
                <w:szCs w:val="20"/>
              </w:rPr>
              <w:t xml:space="preserve">Gjuha e popullatës</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Qendra</w:t>
            </w:r>
          </w:p>
        </w:tc>
        <w:tc>
          <w:tcPr>
            <w:tcW w:w="3429" w:type="dxa"/>
            <w:shd w:fill="F3F7F9"/>
            <w:vAlign w:val="top"/>
          </w:tcPr>
          <w:p>
            <w:pPr>
              <w:pStyle w:val="Compact"/>
              <w:keepLines/>
              <w:widowControl/>
              <w:spacing w:before="0" w:after="40" w:line="240" w:lineRule="auto"/>
              <w:jc w:val="left"/>
            </w:pPr>
            <w:r>
              <w:rPr>
                <w:sz w:val="20"/>
                <w:szCs w:val="20"/>
              </w:rPr>
              <w:t xml:space="preserve">Mesatarja e kampionit</w:t>
            </w:r>
            <w:r>
              <w:rPr>
                <w:sz w:val="20"/>
                <w:szCs w:val="20"/>
              </w:rPr>
              <w:t xml:space="preserve"> </w:t>
            </w:r>
            <ns5:oMath>
              <ns5:acc>
                <ns5:accPr>
                  <ns5:chr ns5:val="‾"/>
                </ns5:accPr>
                <ns5:e>
                  <ns5:r>
                    <ns5:t>x</ns5:t>
                  </ns5:r>
                </ns5:e>
              </ns5:acc>
            </ns5:oMath>
          </w:p>
        </w:tc>
        <w:tc>
          <w:tcPr>
            <w:tcW w:w="3428" w:type="dxa"/>
            <w:shd w:fill="F3F7F9"/>
            <w:vAlign w:val="top"/>
          </w:tcPr>
          <w:p>
            <w:pPr>
              <w:pStyle w:val="Compact"/>
              <w:keepLines/>
              <w:widowControl/>
              <w:spacing w:before="0" w:after="40" w:line="240" w:lineRule="auto"/>
              <w:jc w:val="left"/>
            </w:pPr>
            <w:r>
              <w:rPr>
                <w:sz w:val="20"/>
                <w:szCs w:val="20"/>
              </w:rPr>
              <w:t xml:space="preserve">Mesatarja e popullatës</w:t>
            </w:r>
            <w:r>
              <w:rPr>
                <w:sz w:val="20"/>
                <w:szCs w:val="20"/>
              </w:rPr>
              <w:t xml:space="preserve"> </w:t>
            </w:r>
            <ns5:oMath>
              <ns5:r>
                <ns5:t>μ</ns5:t>
              </ns5:r>
            </ns5:oMath>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Përpjesëtimi</w:t>
            </w:r>
          </w:p>
        </w:tc>
        <w:tc>
          <w:tcPr>
            <w:tcW w:w="3429" w:type="dxa"/>
            <w:shd w:fill="FFFFFF"/>
            <w:vAlign w:val="top"/>
          </w:tcPr>
          <w:p>
            <w:pPr>
              <w:pStyle w:val="Compact"/>
              <w:keepLines/>
              <w:widowControl/>
              <w:spacing w:before="0" w:after="40" w:line="240" w:lineRule="auto"/>
              <w:jc w:val="left"/>
            </w:pPr>
            <w:r>
              <w:rPr>
                <w:sz w:val="20"/>
                <w:szCs w:val="20"/>
              </w:rPr>
              <w:t xml:space="preserve">Përpjesëtimi i kampionit</w:t>
            </w:r>
            <w:r>
              <w:rPr>
                <w:sz w:val="20"/>
                <w:szCs w:val="20"/>
              </w:rPr>
              <w:t xml:space="preserve"> </w:t>
            </w:r>
            <ns5:oMath>
              <ns5:acc>
                <ns5:accPr>
                  <ns5:chr ns5:val="̂"/>
                </ns5:accPr>
                <ns5:e>
                  <ns5:r>
                    <ns5:t>p</ns5:t>
                  </ns5:r>
                </ns5:e>
              </ns5:acc>
            </ns5:oMath>
          </w:p>
        </w:tc>
        <w:tc>
          <w:tcPr>
            <w:tcW w:w="3428" w:type="dxa"/>
            <w:shd w:fill="FFFFFF"/>
            <w:vAlign w:val="top"/>
          </w:tcPr>
          <w:p>
            <w:pPr>
              <w:pStyle w:val="Compact"/>
              <w:keepLines/>
              <w:widowControl/>
              <w:spacing w:before="0" w:after="40" w:line="240" w:lineRule="auto"/>
              <w:jc w:val="left"/>
            </w:pPr>
            <w:r>
              <w:rPr>
                <w:sz w:val="20"/>
                <w:szCs w:val="20"/>
              </w:rPr>
              <w:t xml:space="preserve">Përpjesëtimi i popullatës</w:t>
            </w:r>
            <w:r>
              <w:rPr>
                <w:sz w:val="20"/>
                <w:szCs w:val="20"/>
              </w:rPr>
              <w:t xml:space="preserve"> </w:t>
            </w:r>
            <ns5:oMath>
              <ns5:r>
                <ns5:t>p</ns5:t>
              </ns5:r>
            </ns5:oMath>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Ndryshueshmëria e pikëzimeve</w:t>
            </w:r>
          </w:p>
        </w:tc>
        <w:tc>
          <w:tcPr>
            <w:tcW w:w="3429" w:type="dxa"/>
            <w:shd w:fill="F3F7F9"/>
            <w:vAlign w:val="top"/>
          </w:tcPr>
          <w:p>
            <w:pPr>
              <w:pStyle w:val="Compact"/>
              <w:keepLines/>
              <w:widowControl/>
              <w:spacing w:before="0" w:after="40" w:line="240" w:lineRule="auto"/>
              <w:jc w:val="left"/>
            </w:pPr>
            <w:r>
              <w:rPr>
                <w:sz w:val="20"/>
                <w:szCs w:val="20"/>
              </w:rPr>
              <w:t xml:space="preserve">Devijimi standard i kampionit</w:t>
            </w:r>
            <w:r>
              <w:rPr>
                <w:sz w:val="20"/>
                <w:szCs w:val="20"/>
              </w:rPr>
              <w:t xml:space="preserve"> </w:t>
            </w:r>
            <ns5:oMath>
              <ns5:r>
                <ns5:t>s</ns5:t>
              </ns5:r>
            </ns5:oMath>
          </w:p>
        </w:tc>
        <w:tc>
          <w:tcPr>
            <w:tcW w:w="3428" w:type="dxa"/>
            <w:shd w:fill="F3F7F9"/>
            <w:vAlign w:val="top"/>
          </w:tcPr>
          <w:p>
            <w:pPr>
              <w:pStyle w:val="Compact"/>
              <w:keepLines/>
              <w:widowControl/>
              <w:spacing w:before="0" w:after="40" w:line="240" w:lineRule="auto"/>
              <w:jc w:val="left"/>
            </w:pPr>
            <w:r>
              <w:rPr>
                <w:sz w:val="20"/>
                <w:szCs w:val="20"/>
              </w:rPr>
              <w:t xml:space="preserve">Devijimi standard i popullatës</w:t>
            </w:r>
            <w:r>
              <w:rPr>
                <w:sz w:val="20"/>
                <w:szCs w:val="20"/>
              </w:rPr>
              <w:t xml:space="preserve"> </w:t>
            </w:r>
            <ns5:oMath>
              <ns5:r>
                <ns5:t>σ</ns5:t>
              </ns5:r>
            </ns5:oMath>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Pasiguria e një vlerësimi</w:t>
            </w:r>
          </w:p>
        </w:tc>
        <w:tc>
          <w:tcPr>
            <w:tcW w:w="3429" w:type="dxa"/>
            <w:shd w:fill="FFFFFF"/>
            <w:vAlign w:val="top"/>
          </w:tcPr>
          <w:p>
            <w:pPr>
              <w:pStyle w:val="Compact"/>
              <w:keepLines/>
              <w:widowControl/>
              <w:spacing w:before="0" w:after="40" w:line="240" w:lineRule="auto"/>
              <w:jc w:val="left"/>
            </w:pPr>
            <w:r>
              <w:rPr>
                <w:sz w:val="20"/>
                <w:szCs w:val="20"/>
              </w:rPr>
              <w:t xml:space="preserve">Gabimi standard i vlerësuar</w:t>
            </w:r>
          </w:p>
        </w:tc>
        <w:tc>
          <w:tcPr>
            <w:tcW w:w="3428" w:type="dxa"/>
            <w:shd w:fill="FFFFFF"/>
            <w:vAlign w:val="top"/>
          </w:tcPr>
          <w:p>
            <w:pPr>
              <w:pStyle w:val="Compact"/>
              <w:keepLines/>
              <w:widowControl/>
              <w:spacing w:before="0" w:after="40" w:line="240" w:lineRule="auto"/>
              <w:jc w:val="left"/>
            </w:pPr>
            <w:r>
              <w:rPr>
                <w:sz w:val="20"/>
                <w:szCs w:val="20"/>
              </w:rPr>
              <w:t xml:space="preserve">Devijimi standard i shpërndarjes së kampionimit</w:t>
            </w:r>
          </w:p>
        </w:tc>
      </w:tr>
    </w:tbl>
    <w:bookmarkEnd w:id="29"/>
    <w:bookmarkStart w:id="30" w:name="idetë-kryesore"/>
    <w:p>
      <w:pPr>
        <w:pStyle w:val="Heading2"/>
      </w:pPr>
      <w:r>
        <w:t xml:space="preserve">Idetë kryesore</w:t>
      </w:r>
    </w:p>
    <w:p>
      <w:pPr>
        <w:pStyle w:val="FirstParagraph"/>
      </w:pPr>
      <w:r>
        <w:t xml:space="preserve">Intervali i besimit jep një diapazon vlerash të parametrit që pajtohen me vlerësimin dhe pasigurinë e tij të kampionimit sipas modelit. Niveli i besimit përshkruan si funksionon procedura në afat të gjatë. Nëse e njëjta metodë kampionimi dhe intervali do të përsëritej shumë herë, përpjesëtimi i deklaruar i intervaleve të krijuara do ta përmbante parametrin e pandryshueshëm të popullatës. Pasi llogaritet një interval i vetëm, parametri nuk lëviz mes vlerave; ajo që ka ndryshuar përmes kampionimit është intervali.</w:t>
      </w:r>
    </w:p>
    <w:p>
      <w:pPr>
        <w:pStyle w:val="BodyText"/>
      </w:pPr>
      <w:r>
        <w:t xml:space="preserve">Testi i hipotezës fillon me një</w:t>
      </w:r>
      <w:r>
        <w:t xml:space="preserve"> </w:t>
      </w:r>
      <w:r>
        <w:rPr>
          <w:b/>
          <w:bCs/>
        </w:rPr>
        <w:t xml:space="preserve">hipotezë zero</w:t>
      </w:r>
      <w:r>
        <w:t xml:space="preserve"> </w:t>
      </w:r>
      <ns5:oMath>
        <ns5:sSub>
          <ns5:e>
            <ns5:r>
              <ns5:t>H</ns5:t>
            </ns5:r>
          </ns5:e>
          <ns5:sub>
            <ns5:r>
              <ns5:t>0</ns5:t>
            </ns5:r>
          </ns5:sub>
        </ns5:sSub>
      </ns5:oMath>
      <w:r>
        <w:t xml:space="preserve">, një pohim të saktë referues për një parametër të popullatës.</w:t>
      </w:r>
      <w:r>
        <w:t xml:space="preserve"> </w:t>
      </w:r>
      <w:r>
        <w:rPr>
          <w:b/>
          <w:bCs/>
        </w:rPr>
        <w:t xml:space="preserve">Hipoteza alternative</w:t>
      </w:r>
      <w:r>
        <w:t xml:space="preserve"> </w:t>
      </w:r>
      <ns5:oMath>
        <ns5:sSub>
          <ns5:e>
            <ns5:r>
              <ns5:t>H</ns5:t>
            </ns5:r>
          </ns5:e>
          <ns5:sub>
            <ns5:r>
              <ns5:t>1</ns5:t>
            </ns5:r>
          </ns5:sub>
        </ns5:sSub>
      </ns5:oMath>
      <w:r>
        <w:t xml:space="preserve"> </w:t>
      </w:r>
      <w:r>
        <w:t xml:space="preserve">tregon drejtimin ose dallimin me interes përmbajtësor. Një statistikë testi mat sa larg gjendet vlerësimi i vrojtuar nga vlera zero, në njësi të gabimit standard.</w:t>
      </w:r>
      <w:r>
        <w:t xml:space="preserve"> </w:t>
      </w:r>
      <w:r>
        <w:rPr>
          <w:b/>
          <w:bCs/>
        </w:rPr>
        <w:t xml:space="preserve">Vlera p</w:t>
      </w:r>
      <w:r>
        <w:t xml:space="preserve"> </w:t>
      </w:r>
      <w:r>
        <w:t xml:space="preserve">është probabiliteti që, duke supozuar hipotezën zero dhe të gjitha kushtet e modelit, të merret një statistikë testi të paktën po aq e papajtueshme me hipotezën zero sa ajo e vrojtuar. Ajo nuk është probabiliteti që hipoteza zero të jetë e vërtetë.</w:t>
      </w:r>
    </w:p>
    <w:p>
      <w:pPr>
        <w:pStyle w:val="BodyText"/>
      </w:pPr>
      <w:r>
        <w:t xml:space="preserve">Niveli i rëndësisë statistikore</w:t>
      </w:r>
      <w:r>
        <w:t xml:space="preserve"> </w:t>
      </w:r>
      <ns5:oMath>
        <ns5:r>
          <ns5:t>α</ns5:t>
        </ns5:r>
      </ns5:oMath>
      <w:r>
        <w:t xml:space="preserve"> </w:t>
      </w:r>
      <w:r>
        <w:t xml:space="preserve">është një prag vendimmarrjeje që zgjidhet para se të shihet rezultati. Nëse vlera p është më e vogël ose e barabartë me</w:t>
      </w:r>
      <w:r>
        <w:t xml:space="preserve"> </w:t>
      </w:r>
      <ns5:oMath>
        <ns5:r>
          <ns5:t>α</ns5:t>
        </ns5:r>
      </ns5:oMath>
      <w:r>
        <w:t xml:space="preserve">, rezultati quhet statistikisht i rëndësishëm dhe</w:t>
      </w:r>
      <w:r>
        <w:t xml:space="preserve"> </w:t>
      </w:r>
      <ns5:oMath>
        <ns5:sSub>
          <ns5:e>
            <ns5:r>
              <ns5:t>H</ns5:t>
            </ns5:r>
          </ns5:e>
          <ns5:sub>
            <ns5:r>
              <ns5:t>0</ns5:t>
            </ns5:r>
          </ns5:sub>
        </ns5:sSub>
      </ns5:oMath>
      <w:r>
        <w:t xml:space="preserve"> </w:t>
      </w:r>
      <w:r>
        <w:t xml:space="preserve">hidhet poshtë. Nëse vlera p është më e madhe se</w:t>
      </w:r>
      <w:r>
        <w:t xml:space="preserve"> </w:t>
      </w:r>
      <ns5:oMath>
        <ns5:r>
          <ns5:t>α</ns5:t>
        </ns5:r>
      </ns5:oMath>
      <w:r>
        <w:t xml:space="preserve">, analiza nuk e hedh poshtë</w:t>
      </w:r>
      <w:r>
        <w:t xml:space="preserve"> </w:t>
      </w:r>
      <ns5:oMath>
        <ns5:sSub>
          <ns5:e>
            <ns5:r>
              <ns5:t>H</ns5:t>
            </ns5:r>
          </ns5:e>
          <ns5:sub>
            <ns5:r>
              <ns5:t>0</ns5:t>
            </ns5:r>
          </ns5:sub>
        </ns5:sSub>
      </ns5:oMath>
      <w:r>
        <w:t xml:space="preserve">. Moshedhja poshtë nuk provon se nuk ka efekt. Të dhënat mund të japin një vlerësim me saktësi të ulët, pra me pasiguri të lartë, efekti i vërtetë mund të jetë i vogël ose dizajni mund të ketë fuqi të kufizuar.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667"/>
        <w:gridCol w:w="3809"/>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Realiteti dhe vendimi</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Mos e hidh poshtë</w:t>
            </w:r>
            <w:r>
              <w:rPr>
                <w:b/>
                <w:color w:val="183B56"/>
                <w:sz w:val="20"/>
                <w:szCs w:val="20"/>
              </w:rPr>
              <w:t xml:space="preserve"> </w:t>
            </w:r>
            <ns5:oMath>
              <ns5:sSub>
                <ns5:e>
                  <ns5:r>
                    <ns5:t>H</ns5:t>
                  </ns5:r>
                </ns5:e>
                <ns5:sub>
                  <ns5:r>
                    <ns5:t>0</ns5:t>
                  </ns5:r>
                </ns5:sub>
              </ns5:sSub>
            </ns5:oMath>
          </w:p>
        </w:tc>
        <w:tc>
          <w:tcPr>
            <w:tcW w:w="3809" w:type="dxa"/>
            <w:shd w:fill="EAF2F6"/>
            <w:vAlign w:val="center"/>
          </w:tcPr>
          <w:p>
            <w:pPr>
              <w:pStyle w:val="Compact"/>
              <w:keepLines/>
              <w:widowControl/>
              <w:spacing w:before="0" w:after="40" w:line="240" w:lineRule="auto"/>
              <w:jc w:val="left"/>
            </w:pPr>
            <w:r>
              <w:rPr>
                <w:b/>
                <w:color w:val="183B56"/>
                <w:sz w:val="20"/>
                <w:szCs w:val="20"/>
              </w:rPr>
              <w:t xml:space="preserve">Hidhe poshtë</w:t>
            </w:r>
            <w:r>
              <w:rPr>
                <w:b/>
                <w:color w:val="183B56"/>
                <w:sz w:val="20"/>
                <w:szCs w:val="20"/>
              </w:rPr>
              <w:t xml:space="preserve"> </w:t>
            </w:r>
            <ns5:oMath>
              <ns5:sSub>
                <ns5:e>
                  <ns5:r>
                    <ns5:t>H</ns5:t>
                  </ns5:r>
                </ns5:e>
                <ns5:sub>
                  <ns5:r>
                    <ns5:t>0</ns5:t>
                  </ns5:r>
                </ns5:sub>
              </ns5:sSub>
            </ns5:oMath>
          </w:p>
        </w:tc>
      </w:tr>
      <w:tr>
        <w:trPr>
          <w:cantSplit/>
        </w:trPr>
        <w:tc>
          <w:tcPr>
            <w:tcW w:w="3048" w:type="dxa"/>
            <w:shd w:fill="F3F7F9"/>
            <w:vAlign w:val="top"/>
          </w:tcPr>
          <w:p>
            <w:pPr>
              <w:pStyle w:val="Compact"/>
              <w:keepLines/>
              <w:widowControl/>
              <w:spacing w:before="0" w:after="40" w:line="240" w:lineRule="auto"/>
              <w:jc w:val="left"/>
            </w:pPr>
            <ns5:oMath>
              <ns5:sSub>
                <ns5:e>
                  <ns5:r>
                    <ns5:t>H</ns5:t>
                  </ns5:r>
                </ns5:e>
                <ns5:sub>
                  <ns5:r>
                    <ns5:t>0</ns5:t>
                  </ns5:r>
                </ns5:sub>
              </ns5:sSub>
            </ns5:oMath>
            <w:r>
              <w:rPr>
                <w:sz w:val="20"/>
                <w:szCs w:val="20"/>
              </w:rPr>
              <w:t xml:space="preserve"> </w:t>
            </w:r>
            <w:r>
              <w:rPr>
                <w:sz w:val="20"/>
                <w:szCs w:val="20"/>
              </w:rPr>
              <w:t xml:space="preserve">është e vërtetë</w:t>
            </w:r>
          </w:p>
        </w:tc>
        <w:tc>
          <w:tcPr>
            <w:tcW w:w="2667" w:type="dxa"/>
            <w:shd w:fill="F3F7F9"/>
            <w:vAlign w:val="top"/>
          </w:tcPr>
          <w:p>
            <w:pPr>
              <w:pStyle w:val="Compact"/>
              <w:keepLines/>
              <w:widowControl/>
              <w:spacing w:before="0" w:after="40" w:line="240" w:lineRule="auto"/>
              <w:jc w:val="left"/>
            </w:pPr>
            <w:r>
              <w:rPr>
                <w:sz w:val="20"/>
                <w:szCs w:val="20"/>
              </w:rPr>
              <w:t xml:space="preserve">Vendim i saktë për moshedhje poshtë</w:t>
            </w:r>
          </w:p>
        </w:tc>
        <w:tc>
          <w:tcPr>
            <w:tcW w:w="3809" w:type="dxa"/>
            <w:shd w:fill="F3F7F9"/>
            <w:vAlign w:val="top"/>
          </w:tcPr>
          <w:p>
            <w:pPr>
              <w:pStyle w:val="Compact"/>
              <w:keepLines/>
              <w:widowControl/>
              <w:spacing w:before="0" w:after="40" w:line="240" w:lineRule="auto"/>
              <w:jc w:val="left"/>
            </w:pPr>
            <w:r>
              <w:rPr>
                <w:sz w:val="20"/>
                <w:szCs w:val="20"/>
              </w:rPr>
              <w:t xml:space="preserve">Gabimi i llojit I, me probabilitet të kontrolluar nga</w:t>
            </w:r>
            <w:r>
              <w:rPr>
                <w:sz w:val="20"/>
                <w:szCs w:val="20"/>
              </w:rPr>
              <w:t xml:space="preserve"> </w:t>
            </w:r>
            <ns5:oMath>
              <ns5:r>
                <ns5:t>α</ns5:t>
              </ns5:r>
            </ns5:oMath>
          </w:p>
        </w:tc>
      </w:tr>
      <w:tr>
        <w:trPr>
          <w:cantSplit/>
        </w:trPr>
        <w:tc>
          <w:tcPr>
            <w:tcW w:w="3048" w:type="dxa"/>
            <w:shd w:fill="FFFFFF"/>
            <w:vAlign w:val="top"/>
          </w:tcPr>
          <w:p>
            <w:pPr>
              <w:pStyle w:val="Compact"/>
              <w:keepLines/>
              <w:widowControl/>
              <w:spacing w:before="0" w:after="40" w:line="240" w:lineRule="auto"/>
              <w:jc w:val="left"/>
            </w:pPr>
            <ns5:oMath>
              <ns5:sSub>
                <ns5:e>
                  <ns5:r>
                    <ns5:t>H</ns5:t>
                  </ns5:r>
                </ns5:e>
                <ns5:sub>
                  <ns5:r>
                    <ns5:t>0</ns5:t>
                  </ns5:r>
                </ns5:sub>
              </ns5:sSub>
            </ns5:oMath>
            <w:r>
              <w:rPr>
                <w:sz w:val="20"/>
                <w:szCs w:val="20"/>
              </w:rPr>
              <w:t xml:space="preserve"> </w:t>
            </w:r>
            <w:r>
              <w:rPr>
                <w:sz w:val="20"/>
                <w:szCs w:val="20"/>
              </w:rPr>
              <w:t xml:space="preserve">është e rreme</w:t>
            </w:r>
          </w:p>
        </w:tc>
        <w:tc>
          <w:tcPr>
            <w:tcW w:w="2667" w:type="dxa"/>
            <w:shd w:fill="FFFFFF"/>
            <w:vAlign w:val="top"/>
          </w:tcPr>
          <w:p>
            <w:pPr>
              <w:pStyle w:val="Compact"/>
              <w:keepLines/>
              <w:widowControl/>
              <w:spacing w:before="0" w:after="40" w:line="240" w:lineRule="auto"/>
              <w:jc w:val="left"/>
            </w:pPr>
            <w:r>
              <w:rPr>
                <w:sz w:val="20"/>
                <w:szCs w:val="20"/>
              </w:rPr>
              <w:t xml:space="preserve">Gabimi i llojit II, i shënuar me</w:t>
            </w:r>
            <w:r>
              <w:rPr>
                <w:sz w:val="20"/>
                <w:szCs w:val="20"/>
              </w:rPr>
              <w:t xml:space="preserve"> </w:t>
            </w:r>
            <ns5:oMath>
              <ns5:r>
                <ns5:t>β</ns5:t>
              </ns5:r>
            </ns5:oMath>
          </w:p>
        </w:tc>
        <w:tc>
          <w:tcPr>
            <w:tcW w:w="3809" w:type="dxa"/>
            <w:shd w:fill="FFFFFF"/>
            <w:vAlign w:val="top"/>
          </w:tcPr>
          <w:p>
            <w:pPr>
              <w:pStyle w:val="Compact"/>
              <w:keepLines/>
              <w:widowControl/>
              <w:spacing w:before="0" w:after="40" w:line="240" w:lineRule="auto"/>
              <w:jc w:val="left"/>
            </w:pPr>
            <w:r>
              <w:rPr>
                <w:sz w:val="20"/>
                <w:szCs w:val="20"/>
              </w:rPr>
              <w:t xml:space="preserve">Zbulim i saktë, me probabilitet të quajtur fuqi</w:t>
            </w:r>
            <w:r>
              <w:rPr>
                <w:sz w:val="20"/>
                <w:szCs w:val="20"/>
              </w:rPr>
              <w:t xml:space="preserve"> </w:t>
            </w:r>
            <ns5:oMath>
              <ns5:r>
                <ns5:t>1</ns5:t>
              </ns5:r>
              <ns5:r>
                <ns5:rPr>
                  <ns5:sty ns5:val="p"/>
                </ns5:rPr>
                <ns5:t>−</ns5:t>
              </ns5:r>
              <ns5:r>
                <ns5:t>β</ns5:t>
              </ns5:r>
            </ns5:oMath>
          </w:p>
        </w:tc>
      </w:tr>
    </w:tbl>
    <w:p>
      <w:pPr>
        <w:pStyle w:val="BodyText"/>
      </w:pPr>
      <w:r>
        <w:t xml:space="preserve">Fuqia është probabiliteti që një test ta hedhë poshtë</w:t>
      </w:r>
      <w:r>
        <w:t xml:space="preserve"> </w:t>
      </w:r>
      <ns5:oMath>
        <ns5:sSub>
          <ns5:e>
            <ns5:r>
              <ns5:t>H</ns5:t>
            </ns5:r>
          </ns5:e>
          <ns5:sub>
            <ns5:r>
              <ns5:t>0</ns5:t>
            </ns5:r>
          </ns5:sub>
        </ns5:sSub>
      </ns5:oMath>
      <w:r>
        <w:t xml:space="preserve"> </w:t>
      </w:r>
      <w:r>
        <w:t xml:space="preserve">kur një alternativë e përcaktuar është e vërtetë. Ajo rritet kur efekti i vërtetë është më i madh, pikëzimet janë më pak të ndryshueshme, kampioni është më i madh ose rregulli i rëndësisë bëhet më pak i rreptë. Këto ndikime përfshijnë shkëmbime mes përfitimeve dhe kostove. Prandaj planifikimi kërkon një madhësi efekti me kuptim përmbajtësor dhe një dizajn të mbrojtshëm, jo kërkim të rëndësisë statistikore pasi janë mbledhur të dhënat.</w:t>
      </w:r>
    </w:p>
    <w:p>
      <w:pPr>
        <w:pStyle w:val="BodyText"/>
      </w:pPr>
      <w:r>
        <w:t xml:space="preserve">Zgjedhja e procedurës ndjek strukturën e pyetjes kërkimore. Një procedurë për mesataren e një kampioni krahason një grup me një vlerë referuese. Një procedurë për grupe të pavarura krahason grupe të ndara. Një procedurë me çifte analizon matje të lidhura, si të njëjtët pjesëmarrës para dhe pas një ndërhyrjeje, duke punuar me dallimet brenda çifteve. Një procedurë hi-katror për një tabelë kontingjence krahason numërimet kategorike të vrojtuara me numërimet e pritura sipas modelit zero. Në çdo rast, duhen deklaruar njësia e analizës dhe struktura e varësisë.</w:t>
      </w:r>
    </w:p>
    <w:bookmarkEnd w:id="30"/>
    <w:bookmarkStart w:id="31" w:name="udhëzuesi-i-formulave"/>
    <w:p>
      <w:pPr>
        <w:pStyle w:val="Heading2"/>
      </w:pPr>
      <w:r>
        <w:t xml:space="preserve">Udhëzuesi i formulave</w:t>
      </w:r>
    </w:p>
    <w:p>
      <w:pPr>
        <w:pStyle w:val="FirstParagraph"/>
      </w:pPr>
      <w:r>
        <w:t xml:space="preserve">Për një kampion të rastësishëm të pavarur, gabimi standard i vlerësuar i mesatares së kampionit është devijimi standard i kampionit i pjesëtuar me rrënjën katrore të madhësisë së kampionit:</w:t>
      </w:r>
    </w:p>
    <w:p>
      <w:pPr>
        <w:pStyle w:val="BodyText"/>
      </w:pPr>
      <ns5:oMathPara>
        <ns5:oMathParaPr>
          <ns5:jc ns5:val="center"/>
        </ns5:oMathParaPr>
        <ns5:oMath>
          <ns5:r>
            <ns5:t>S</ns5:t>
          </ns5:r>
          <ns5:r>
            <ns5:t>E</ns5:t>
          </ns5:r>
          <ns5:d>
            <ns5:dPr>
              <ns5:begChr ns5:val="("/>
              <ns5:sepChr ns5:val=""/>
              <ns5:endChr ns5:val=")"/>
              <ns5:grow/>
            </ns5:dPr>
            <ns5:e>
              <ns5:acc>
                <ns5:accPr>
                  <ns5:chr ns5:val="‾"/>
                </ns5:accPr>
                <ns5:e>
                  <ns5:r>
                    <ns5:t>x</ns5:t>
                  </ns5:r>
                </ns5:e>
              </ns5:acc>
            </ns5:e>
          </ns5:d>
          <ns5:r>
            <ns5:rPr>
              <ns5:sty ns5:val="p"/>
            </ns5:rPr>
            <ns5:t>=</ns5:t>
          </ns5:r>
          <ns5:f>
            <ns5:fPr>
              <ns5:type ns5:val="bar"/>
            </ns5:fPr>
            <ns5:num>
              <ns5:r>
                <ns5:t>s</ns5:t>
              </ns5:r>
            </ns5:num>
            <ns5:den>
              <ns5:rad>
                <ns5:radPr>
                  <ns5:degHide ns5:val="on"/>
                </ns5:radPr>
                <ns5:deg/>
                <ns5:e>
                  <ns5:r>
                    <ns5:t>n</ns5:t>
                  </ns5:r>
                </ns5:e>
              </ns5:rad>
            </ns5:den>
          </ns5:f>
        </ns5:oMath>
      </ns5:oMathPara>
    </w:p>
    <w:p>
      <w:pPr>
        <w:pStyle w:val="FirstParagraph"/>
      </w:pPr>
      <w:r>
        <w:t xml:space="preserve">Rrënja katrore shpjegon pse pasiguria ulet më ngadalë sesa rritet madhësia e kampionit. Shumëzimi i</w:t>
      </w:r>
      <w:r>
        <w:t xml:space="preserve"> </w:t>
      </w:r>
      <ns5:oMath>
        <ns5:r>
          <ns5:t>n</ns5:t>
        </ns5:r>
      </ns5:oMath>
      <w:r>
        <w:t xml:space="preserve"> </w:t>
      </w:r>
      <w:r>
        <w:t xml:space="preserve">me katër e përgjysmon këtë gabim standard kur ndryshueshmëria mbetet e njëjtë.</w:t>
      </w:r>
    </w:p>
    <w:p>
      <w:pPr>
        <w:pStyle w:val="BodyText"/>
      </w:pPr>
      <w:r>
        <w:t xml:space="preserve">Një interval besimi lidh një vlerësim</w:t>
      </w:r>
      <w:r>
        <w:t xml:space="preserve"> </w:t>
      </w:r>
      <ns5:oMath>
        <ns5:acc>
          <ns5:accPr>
            <ns5:chr ns5:val="̂"/>
          </ns5:accPr>
          <ns5:e>
            <ns5:r>
              <ns5:t>θ</ns5:t>
            </ns5:r>
          </ns5:e>
        </ns5:acc>
      </ns5:oMath>
      <w:r>
        <w:t xml:space="preserve"> </w:t>
      </w:r>
      <w:r>
        <w:t xml:space="preserve">me gabimin e tij standard dhe me një vlerë kritike</w:t>
      </w:r>
      <w:r>
        <w:t xml:space="preserve"> </w:t>
      </w:r>
      <ns5:oMath>
        <ns5:r>
          <ns5:t>c</ns5:t>
        </ns5:r>
      </ns5:oMath>
      <w:r>
        <w:t xml:space="preserve"> </w:t>
      </w:r>
      <w:r>
        <w:t xml:space="preserve">të zgjedhur për nivelin e besimit:</w:t>
      </w:r>
    </w:p>
    <w:p>
      <w:pPr>
        <w:pStyle w:val="BodyText"/>
      </w:pPr>
      <ns5:oMathPara>
        <ns5:oMathParaPr>
          <ns5:jc ns5:val="center"/>
        </ns5:oMathParaPr>
        <ns5:oMath>
          <ns5:acc>
            <ns5:accPr>
              <ns5:chr ns5:val="̂"/>
            </ns5:accPr>
            <ns5:e>
              <ns5:r>
                <ns5:t>θ</ns5:t>
              </ns5:r>
            </ns5:e>
          </ns5:acc>
          <ns5:r>
            <ns5:rPr>
              <ns5:sty ns5:val="p"/>
            </ns5:rPr>
            <ns5:t>±</ns5:t>
          </ns5:r>
          <ns5:r>
            <ns5:t>c</ns5:t>
          </ns5:r>
          <ns5:r>
            <ns5:rPr>
              <ns5:sty ns5:val="p"/>
            </ns5:rPr>
            <ns5:t>⋅</ns5:t>
          </ns5:r>
          <ns5:r>
            <ns5:t>S</ns5:t>
          </ns5:r>
          <ns5:r>
            <ns5:t>E</ns5:t>
          </ns5:r>
          <ns5:d>
            <ns5:dPr>
              <ns5:begChr ns5:val="("/>
              <ns5:sepChr ns5:val=""/>
              <ns5:endChr ns5:val=")"/>
              <ns5:grow/>
            </ns5:dPr>
            <ns5:e>
              <ns5:acc>
                <ns5:accPr>
                  <ns5:chr ns5:val="̂"/>
                </ns5:accPr>
                <ns5:e>
                  <ns5:r>
                    <ns5:t>θ</ns5:t>
                  </ns5:r>
                </ns5:e>
              </ns5:acc>
            </ns5:e>
          </ns5:d>
        </ns5:oMath>
      </ns5:oMathPara>
    </w:p>
    <w:p>
      <w:pPr>
        <w:pStyle w:val="FirstParagraph"/>
      </w:pPr>
      <w:r>
        <w:t xml:space="preserve">Nëse devijimi standard i popullatës</w:t>
      </w:r>
      <w:r>
        <w:t xml:space="preserve"> </w:t>
      </w:r>
      <ns5:oMath>
        <ns5:r>
          <ns5:t>σ</ns5:t>
        </ns5:r>
      </ns5:oMath>
      <w:r>
        <w:t xml:space="preserve"> </w:t>
      </w:r>
      <w:r>
        <w:t xml:space="preserve">dihet dhe zbatohet modeli normal i deklaruar, përdor referencën normale standarde:</w:t>
      </w:r>
    </w:p>
    <w:p>
      <w:pPr>
        <w:pStyle w:val="BodyText"/>
      </w:pPr>
      <ns5:oMathPara>
        <ns5:oMathParaPr>
          <ns5:jc ns5:val="center"/>
        </ns5:oMathParaPr>
        <ns5:oMath>
          <ns5:acc>
            <ns5:accPr>
              <ns5:chr ns5:val="‾"/>
            </ns5:accPr>
            <ns5:e>
              <ns5:r>
                <ns5:t>x</ns5:t>
              </ns5:r>
            </ns5:e>
          </ns5:acc>
          <ns5:r>
            <ns5:rPr>
              <ns5:sty ns5:val="p"/>
            </ns5:rPr>
            <ns5:t>±</ns5:t>
          </ns5:r>
          <ns5:sSub>
            <ns5:e>
              <ns5:r>
                <ns5:t>z</ns5:t>
              </ns5:r>
            </ns5:e>
            <ns5:sub>
              <ns5:r>
                <ns5:t>1</ns5:t>
              </ns5:r>
              <ns5:r>
                <ns5:rPr>
                  <ns5:sty ns5:val="p"/>
                </ns5:rPr>
                <ns5:t>−</ns5:t>
              </ns5:r>
              <ns5:r>
                <ns5:t>α</ns5:t>
              </ns5:r>
              <ns5:r>
                <ns5:rPr>
                  <ns5:sty ns5:val="p"/>
                </ns5:rPr>
                <ns5:t>/</ns5:t>
              </ns5:r>
              <ns5:r>
                <ns5:t>2</ns5:t>
              </ns5:r>
            </ns5:sub>
          </ns5:sSub>
          <ns5:f>
            <ns5:fPr>
              <ns5:type ns5:val="bar"/>
            </ns5:fPr>
            <ns5:num>
              <ns5:r>
                <ns5:t>σ</ns5:t>
              </ns5:r>
            </ns5:num>
            <ns5:den>
              <ns5:rad>
                <ns5:radPr>
                  <ns5:degHide ns5:val="on"/>
                </ns5:radPr>
                <ns5:deg/>
                <ns5:e>
                  <ns5:r>
                    <ns5:t>n</ns5:t>
                  </ns5:r>
                </ns5:e>
              </ns5:rad>
            </ns5:den>
          </ns5:f>
          <ns5:r>
            <ns5:rPr>
              <ns5:sty ns5:val="p"/>
            </ns5:rPr>
            <ns5:t>,</ns5:t>
          </ns5:r>
          <ns5:r>
            <ns5:t>  </ns5:t>
          </ns5:r>
          <ns5:r>
            <ns5:t>z</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σ</ns5:t>
              </ns5:r>
              <ns5:r>
                <ns5:rPr>
                  <ns5:sty ns5:val="p"/>
                </ns5:rPr>
                <ns5:t>/</ns5:t>
              </ns5:r>
              <ns5:rad>
                <ns5:radPr>
                  <ns5:degHide ns5:val="on"/>
                </ns5:radPr>
                <ns5:deg/>
                <ns5:e>
                  <ns5:r>
                    <ns5:t>n</ns5:t>
                  </ns5:r>
                </ns5:e>
              </ns5:rad>
            </ns5:den>
          </ns5:f>
          <ns5:r>
            <ns5:rPr>
              <ns5:sty ns5:val="p"/>
            </ns5:rPr>
            <ns5:t>.</ns5:t>
          </ns5:r>
        </ns5:oMath>
      </ns5:oMathPara>
    </w:p>
    <w:p>
      <w:pPr>
        <w:pStyle w:val="FirstParagraph"/>
      </w:pPr>
      <w:r>
        <w:t xml:space="preserve">Hipoteza alternative përcakton sipërfaqen referuese. Një alternativë e dyanshme përdor të dy bishtat përtej</w:t>
      </w:r>
      <w:r>
        <w:t xml:space="preserve"> </w:t>
      </w:r>
      <ns5:oMath>
        <ns5:d>
          <ns5:dPr>
            <ns5:begChr ns5:val="|"/>
            <ns5:sepChr ns5:val=""/>
            <ns5:endChr ns5:val="|"/>
            <ns5:grow/>
          </ns5:dPr>
          <ns5:e>
            <ns5:r>
              <ns5:t>z</ns5:t>
            </ns5:r>
          </ns5:e>
        </ns5:d>
      </ns5:oMath>
      <w:r>
        <w:t xml:space="preserve"> </w:t>
      </w:r>
      <w:r>
        <w:t xml:space="preserve">ose</w:t>
      </w:r>
      <w:r>
        <w:t xml:space="preserve"> </w:t>
      </w:r>
      <ns5:oMath>
        <ns5:d>
          <ns5:dPr>
            <ns5:begChr ns5:val="|"/>
            <ns5:sepChr ns5:val=""/>
            <ns5:endChr ns5:val="|"/>
            <ns5:grow/>
          </ns5:dPr>
          <ns5:e>
            <ns5:r>
              <ns5:t>t</ns5:t>
            </ns5:r>
          </ns5:e>
        </ns5:d>
      </ns5:oMath>
      <w:r>
        <w:t xml:space="preserve">. Një alternativë e njëanshme përdor bishtin drejtimor të përcaktuar paraprakisht. Zgjedhja e drejtimit pasi është parë rezultati nuk përbën një test të njëanshëm të përcaktuar paraprakisht.</w:t>
      </w:r>
    </w:p>
    <w:p>
      <w:pPr>
        <w:pStyle w:val="BodyText"/>
      </w:pPr>
      <w:r>
        <w:t xml:space="preserve">Për mesataren e një kampioni me devijim standard të vlerësuar të popullatës, intervali përdor një vlerë kritike nga shpërndarja</w:t>
      </w:r>
      <w:r>
        <w:t xml:space="preserve"> </w:t>
      </w:r>
      <ns5:oMath>
        <ns5:r>
          <ns5:t>t</ns5:t>
        </ns5:r>
      </ns5:oMath>
      <w:r>
        <w:t xml:space="preserve"> </w:t>
      </w:r>
      <w:r>
        <w:t xml:space="preserve">me</w:t>
      </w:r>
      <w:r>
        <w:t xml:space="preserve"> </w:t>
      </w:r>
      <ns5:oMath>
        <ns5:r>
          <ns5:t>n</ns5:t>
        </ns5:r>
        <ns5:r>
          <ns5:rPr>
            <ns5:sty ns5:val="p"/>
          </ns5:rPr>
          <ns5:t>−</ns5:t>
        </ns5:r>
        <ns5:r>
          <ns5:t>1</ns5:t>
        </ns5:r>
      </ns5:oMath>
      <w:r>
        <w:t xml:space="preserve"> </w:t>
      </w:r>
      <w:r>
        <w:t xml:space="preserve">shkallë lirie:</w:t>
      </w:r>
    </w:p>
    <w:p>
      <w:pPr>
        <w:pStyle w:val="BodyText"/>
      </w:pPr>
      <ns5:oMathPara>
        <ns5:oMathParaPr>
          <ns5:jc ns5:val="center"/>
        </ns5:oMathParaPr>
        <ns5:oMath>
          <ns5:acc>
            <ns5:accPr>
              <ns5:chr ns5:val="‾"/>
            </ns5:accPr>
            <ns5:e>
              <ns5:r>
                <ns5:t>x</ns5:t>
              </ns5:r>
            </ns5:e>
          </ns5:acc>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r>
                <ns5:t>n</ns5:t>
              </ns5:r>
              <ns5:r>
                <ns5:rPr>
                  <ns5:sty ns5:val="p"/>
                </ns5:rPr>
                <ns5:t>−</ns5:t>
              </ns5:r>
              <ns5:r>
                <ns5:t>1</ns5:t>
              </ns5:r>
            </ns5:sub>
          </ns5:sSub>
          <ns5:f>
            <ns5:fPr>
              <ns5:type ns5:val="bar"/>
            </ns5:fPr>
            <ns5:num>
              <ns5:r>
                <ns5:t>s</ns5:t>
              </ns5:r>
            </ns5:num>
            <ns5:den>
              <ns5:rad>
                <ns5:radPr>
                  <ns5:degHide ns5:val="on"/>
                </ns5:radPr>
                <ns5:deg/>
                <ns5:e>
                  <ns5:r>
                    <ns5:t>n</ns5:t>
                  </ns5:r>
                </ns5:e>
              </ns5:rad>
            </ns5:den>
          </ns5:f>
        </ns5:oMath>
      </ns5:oMathPara>
    </w:p>
    <w:p>
      <w:pPr>
        <w:pStyle w:val="FirstParagraph"/>
      </w:pPr>
      <w:r>
        <w:t xml:space="preserve">Statistika përkatëse e testit për një kampion e krahason mesataren e vrojtuar të kampionit me vlerën zero</w:t>
      </w:r>
      <w:r>
        <w:t xml:space="preserve"> </w:t>
      </w:r>
      <ns5:oMath>
        <ns5:sSub>
          <ns5:e>
            <ns5:r>
              <ns5:t>μ</ns5:t>
            </ns5:r>
          </ns5:e>
          <ns5:sub>
            <ns5:r>
              <ns5:t>0</ns5:t>
            </ns5:r>
          </ns5:sub>
        </ns5:sSub>
      </ns5:oMath>
      <w:r>
        <w:t xml:space="preserve">:</w:t>
      </w:r>
    </w:p>
    <w:p>
      <w:pPr>
        <w:pStyle w:val="BodyText"/>
      </w:pPr>
      <ns5:oMathPara>
        <ns5:oMathParaPr>
          <ns5:jc ns5:val="center"/>
        </ns5:oMathParaPr>
        <ns5:oMath>
          <ns5:r>
            <ns5:t>t</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s</ns5:t>
              </ns5:r>
              <ns5:r>
                <ns5:rPr>
                  <ns5:sty ns5:val="p"/>
                </ns5:rPr>
                <ns5:t>/</ns5:t>
              </ns5:r>
              <ns5:rad>
                <ns5:radPr>
                  <ns5:degHide ns5:val="on"/>
                </ns5:radPr>
                <ns5:deg/>
                <ns5:e>
                  <ns5:r>
                    <ns5:t>n</ns5:t>
                  </ns5:r>
                </ns5:e>
              </ns5:rad>
            </ns5:den>
          </ns5:f>
        </ns5:oMath>
      </ns5:oMathPara>
    </w:p>
    <w:p>
      <w:pPr>
        <w:pStyle w:val="FirstParagraph"/>
      </w:pPr>
      <w:r>
        <w:t xml:space="preserve">Numëruesi është dallimi i vrojtuar nga pohimi zero. Emëruesi e kthen atë dallim në njësi të gabimit standard. Për matje me çifte, llogarit fillimisht nga një dallim</w:t>
      </w:r>
      <w:r>
        <w:t xml:space="preserve"> </w:t>
      </w:r>
      <ns5:oMath>
        <ns5:sSub>
          <ns5:e>
            <ns5:r>
              <ns5:t>d</ns5:t>
            </ns5:r>
          </ns5:e>
          <ns5:sub>
            <ns5:r>
              <ns5:t>i</ns5:t>
            </ns5:r>
          </ns5:sub>
        </ns5:sSub>
      </ns5:oMath>
      <w:r>
        <w:t xml:space="preserve"> </w:t>
      </w:r>
      <w:r>
        <w:t xml:space="preserve">për secilin çift dhe pastaj zbato të njëjtin arsyetim të një kampioni për mesataren e dallimeve</w:t>
      </w:r>
      <w:r>
        <w:t xml:space="preserve"> </w:t>
      </w:r>
      <ns5:oMath>
        <ns5:acc>
          <ns5:accPr>
            <ns5:chr ns5:val="‾"/>
          </ns5:accPr>
          <ns5:e>
            <ns5:r>
              <ns5:t>d</ns5:t>
            </ns5:r>
          </ns5:e>
        </ns5:acc>
      </ns5:oMath>
      <w:r>
        <w:t xml:space="preserve">:</w:t>
      </w:r>
    </w:p>
    <w:p>
      <w:pPr>
        <w:pStyle w:val="BodyText"/>
      </w:pPr>
      <ns5:oMathPara>
        <ns5:oMathParaPr>
          <ns5:jc ns5:val="center"/>
        </ns5:oMathParaPr>
        <ns5:oMath>
          <ns5:r>
            <ns5:t>t</ns5:t>
          </ns5:r>
          <ns5:r>
            <ns5:rPr>
              <ns5:sty ns5:val="p"/>
            </ns5:rPr>
            <ns5:t>=</ns5:t>
          </ns5:r>
          <ns5:f>
            <ns5:fPr>
              <ns5:type ns5:val="bar"/>
            </ns5:fPr>
            <ns5:num>
              <ns5:acc>
                <ns5:accPr>
                  <ns5:chr ns5:val="‾"/>
                </ns5:accPr>
                <ns5:e>
                  <ns5:r>
                    <ns5:t>d</ns5:t>
                  </ns5:r>
                </ns5:e>
              </ns5:acc>
              <ns5:r>
                <ns5:rPr>
                  <ns5:sty ns5:val="p"/>
                </ns5:rPr>
                <ns5:t>−</ns5:t>
              </ns5:r>
              <ns5:r>
                <ns5:t>0</ns5:t>
              </ns5:r>
            </ns5:num>
            <ns5:den>
              <ns5:sSub>
                <ns5:e>
                  <ns5:r>
                    <ns5:t>s</ns5:t>
                  </ns5:r>
                </ns5:e>
                <ns5:sub>
                  <ns5:r>
                    <ns5:t>d</ns5:t>
                  </ns5:r>
                </ns5:sub>
              </ns5:sSub>
              <ns5:r>
                <ns5:rPr>
                  <ns5:sty ns5:val="p"/>
                </ns5:rPr>
                <ns5:t>/</ns5:t>
              </ns5:r>
              <ns5:rad>
                <ns5:radPr>
                  <ns5:degHide ns5:val="on"/>
                </ns5:radPr>
                <ns5:deg/>
                <ns5:e>
                  <ns5:r>
                    <ns5:t>n</ns5:t>
                  </ns5:r>
                </ns5:e>
              </ns5:rad>
            </ns5:den>
          </ns5:f>
        </ns5:oMath>
      </ns5:oMathPara>
    </w:p>
    <w:p>
      <w:pPr>
        <w:pStyle w:val="FirstParagraph"/>
      </w:pPr>
      <w:r>
        <w:t xml:space="preserve">Kjo e ruan çiftimin. Trajtimi i matjeve si të palidhura do ta hidhte poshtë informacionin se cilat dy vrojtime i përkasin njëra-tjetrës.</w:t>
      </w:r>
    </w:p>
    <w:p>
      <w:pPr>
        <w:pStyle w:val="BodyText"/>
      </w:pPr>
      <w:r>
        <w:t xml:space="preserve">Për dy kampione të pavarura sipas modelit me varianca të barabarta të popullatave që mësohet këtu, fillimisht bashkoji dy variancat e kampioneve:</w:t>
      </w:r>
    </w:p>
    <w:p>
      <w:pPr>
        <w:pStyle w:val="BodyText"/>
      </w:pPr>
      <ns5:oMathPara>
        <ns5:oMathParaPr>
          <ns5:jc ns5:val="center"/>
        </ns5:oMathParaPr>
        <ns5:oMath>
          <ns5:sSubSup>
            <ns5:e>
              <ns5:r>
                <ns5:t>s</ns5:t>
              </ns5:r>
            </ns5:e>
            <ns5:sub>
              <ns5:r>
                <ns5:t>p</ns5:t>
              </ns5:r>
            </ns5:sub>
            <ns5:sup>
              <ns5:r>
                <ns5:t>2</ns5:t>
              </ns5:r>
            </ns5:sup>
          </ns5:sSubSup>
          <ns5:r>
            <ns5:rPr>
              <ns5:sty ns5:val="p"/>
            </ns5:rPr>
            <ns5:t>=</ns5:t>
          </ns5:r>
          <ns5:f>
            <ns5:fPr>
              <ns5:type ns5:val="bar"/>
            </ns5:fPr>
            <ns5:num>
              <ns5:d>
                <ns5:dPr>
                  <ns5:begChr ns5:val="("/>
                  <ns5:sepChr ns5:val=""/>
                  <ns5:endChr ns5:val=")"/>
                  <ns5:grow/>
                </ns5:dPr>
                <ns5:e>
                  <ns5:sSub>
                    <ns5:e>
                      <ns5:r>
                        <ns5:t>n</ns5:t>
                      </ns5:r>
                    </ns5:e>
                    <ns5:sub>
                      <ns5:r>
                        <ns5:t>1</ns5:t>
                      </ns5:r>
                    </ns5:sub>
                  </ns5:sSub>
                  <ns5:r>
                    <ns5:rPr>
                      <ns5:sty ns5:val="p"/>
                    </ns5:rPr>
                    <ns5:t>−</ns5:t>
                  </ns5:r>
                  <ns5:r>
                    <ns5:t>1</ns5:t>
                  </ns5:r>
                </ns5:e>
              </ns5:d>
              <ns5:sSubSup>
                <ns5:e>
                  <ns5:r>
                    <ns5:t>s</ns5:t>
                  </ns5:r>
                </ns5:e>
                <ns5:sub>
                  <ns5:r>
                    <ns5:t>1</ns5:t>
                  </ns5:r>
                </ns5:sub>
                <ns5:sup>
                  <ns5:r>
                    <ns5:t>2</ns5:t>
                  </ns5:r>
                </ns5:sup>
              </ns5:sSubSup>
              <ns5:r>
                <ns5:rPr>
                  <ns5:sty ns5:val="p"/>
                </ns5:rPr>
                <ns5:t>+</ns5:t>
              </ns5:r>
              <ns5:d>
                <ns5:dPr>
                  <ns5:begChr ns5:val="("/>
                  <ns5:sepChr ns5:val=""/>
                  <ns5:endChr ns5:val=")"/>
                  <ns5:grow/>
                </ns5:dPr>
                <ns5:e>
                  <ns5:sSub>
                    <ns5:e>
                      <ns5:r>
                        <ns5:t>n</ns5:t>
                      </ns5:r>
                    </ns5:e>
                    <ns5:sub>
                      <ns5:r>
                        <ns5:t>2</ns5:t>
                      </ns5:r>
                    </ns5:sub>
                  </ns5:sSub>
                  <ns5:r>
                    <ns5:rPr>
                      <ns5:sty ns5:val="p"/>
                    </ns5:rPr>
                    <ns5:t>−</ns5:t>
                  </ns5:r>
                  <ns5:r>
                    <ns5:t>1</ns5:t>
                  </ns5:r>
                </ns5:e>
              </ns5:d>
              <ns5:sSubSup>
                <ns5:e>
                  <ns5:r>
                    <ns5:t>s</ns5:t>
                  </ns5:r>
                </ns5:e>
                <ns5:sub>
                  <ns5:r>
                    <ns5:t>2</ns5:t>
                  </ns5:r>
                </ns5:sub>
                <ns5:sup>
                  <ns5:r>
                    <ns5:t>2</ns5:t>
                  </ns5:r>
                </ns5:sup>
              </ns5:sSubSup>
            </ns5:num>
            <ns5:den>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den>
          </ns5:f>
          <ns5:r>
            <ns5:rPr>
              <ns5:sty ns5:val="p"/>
            </ns5:rPr>
            <ns5:t>.</ns5:t>
          </ns5:r>
        </ns5:oMath>
      </ns5:oMathPara>
    </w:p>
    <w:p>
      <w:pPr>
        <w:pStyle w:val="FirstParagraph"/>
      </w:pPr>
      <w:r>
        <w:t xml:space="preserve">Pastaj llogarit</w:t>
      </w:r>
    </w:p>
    <w:p>
      <w:pPr>
        <w:pStyle w:val="BodyText"/>
      </w:pPr>
      <ns5:oMathPara>
        <ns5:oMathParaPr>
          <ns5:jc ns5:val="center"/>
        </ns5:oMathParaPr>
        <ns5:oMath>
          <ns5:r>
            <ns5:t>S</ns5:t>
          </ns5:r>
          <ns5:r>
            <ns5:t>E</ns5:t>
          </ns5:r>
          <ns5:d>
            <ns5:dPr>
              <ns5:begChr ns5:val="("/>
              <ns5:sepChr ns5:val=""/>
              <ns5:endChr ns5:val=")"/>
              <ns5:grow/>
            </ns5:dPr>
            <ns5:e>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e>
          </ns5:d>
          <ns5:r>
            <ns5:rPr>
              <ns5:sty ns5:val="p"/>
            </ns5:rPr>
            <ns5:t>=</ns5:t>
          </ns5:r>
          <ns5:sSub>
            <ns5:e>
              <ns5:r>
                <ns5:t>s</ns5:t>
              </ns5:r>
            </ns5:e>
            <ns5:sub>
              <ns5:r>
                <ns5:t>p</ns5:t>
              </ns5:r>
            </ns5:sub>
          </ns5:sSub>
          <ns5:rad>
            <ns5:radPr>
              <ns5:degHide ns5:val="on"/>
            </ns5:radPr>
            <ns5:deg/>
            <ns5:e>
              <ns5:f>
                <ns5:fPr>
                  <ns5:type ns5:val="bar"/>
                </ns5:fPr>
                <ns5:num>
                  <ns5:r>
                    <ns5:t>1</ns5:t>
                  </ns5:r>
                </ns5:num>
                <ns5:den>
                  <ns5:sSub>
                    <ns5:e>
                      <ns5:r>
                        <ns5:t>n</ns5:t>
                      </ns5:r>
                    </ns5:e>
                    <ns5:sub>
                      <ns5:r>
                        <ns5:t>1</ns5:t>
                      </ns5:r>
                    </ns5:sub>
                  </ns5:sSub>
                </ns5:den>
              </ns5:f>
              <ns5:r>
                <ns5:rPr>
                  <ns5:sty ns5:val="p"/>
                </ns5:rPr>
                <ns5:t>+</ns5:t>
              </ns5:r>
              <ns5:f>
                <ns5:fPr>
                  <ns5:type ns5:val="bar"/>
                </ns5:fPr>
                <ns5:num>
                  <ns5:r>
                    <ns5:t>1</ns5:t>
                  </ns5:r>
                </ns5:num>
                <ns5:den>
                  <ns5:sSub>
                    <ns5:e>
                      <ns5:r>
                        <ns5:t>n</ns5:t>
                      </ns5:r>
                    </ns5:e>
                    <ns5:sub>
                      <ns5:r>
                        <ns5:t>2</ns5:t>
                      </ns5:r>
                    </ns5:sub>
                  </ns5:sSub>
                </ns5:den>
              </ns5:f>
            </ns5:e>
          </ns5:rad>
          <ns5:r>
            <ns5:rPr>
              <ns5:sty ns5:val="p"/>
            </ns5:rPr>
            <ns5:t>,</ns5:t>
          </ns5:r>
        </ns5:oMath>
      </ns5:oMathPara>
    </w:p>
    <w:p>
      <w:pPr>
        <w:pStyle w:val="FirstParagraph"/>
      </w:pPr>
      <ns5:oMathPara>
        <ns5:oMathParaPr>
          <ns5:jc ns5:val="center"/>
        </ns5:oMathParaPr>
        <ns5:oMath>
          <ns5:r>
            <ns5:t>t</ns5:t>
          </ns5:r>
          <ns5:r>
            <ns5:rPr>
              <ns5:sty ns5:val="p"/>
            </ns5:rPr>
            <ns5:t>=</ns5:t>
          </ns5:r>
          <ns5:f>
            <ns5:fPr>
              <ns5:type ns5:val="bar"/>
            </ns5:fPr>
            <ns5:num>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num>
            <ns5:den>
              <ns5:sSub>
                <ns5:e>
                  <ns5:r>
                    <ns5:t>s</ns5:t>
                  </ns5:r>
                </ns5:e>
                <ns5:sub>
                  <ns5:r>
                    <ns5:t>p</ns5:t>
                  </ns5:r>
                </ns5:sub>
              </ns5:sSub>
              <ns5:rad>
                <ns5:radPr>
                  <ns5:degHide ns5:val="on"/>
                </ns5:radPr>
                <ns5:deg/>
                <ns5:e>
                  <ns5:r>
                    <ns5:t>1</ns5:t>
                  </ns5:r>
                  <ns5:r>
                    <ns5:rPr>
                      <ns5:sty ns5:val="p"/>
                    </ns5:rPr>
                    <ns5:t>/</ns5:t>
                  </ns5:r>
                  <ns5:sSub>
                    <ns5:e>
                      <ns5:r>
                        <ns5:t>n</ns5:t>
                      </ns5:r>
                    </ns5:e>
                    <ns5:sub>
                      <ns5:r>
                        <ns5:t>1</ns5:t>
                      </ns5:r>
                    </ns5:sub>
                  </ns5:sSub>
                  <ns5:r>
                    <ns5:rPr>
                      <ns5:sty ns5:val="p"/>
                    </ns5:rPr>
                    <ns5:t>+</ns5:t>
                  </ns5:r>
                  <ns5:r>
                    <ns5:t>1</ns5:t>
                  </ns5:r>
                  <ns5:r>
                    <ns5:rPr>
                      <ns5:sty ns5:val="p"/>
                    </ns5:rPr>
                    <ns5:t>/</ns5:t>
                  </ns5:r>
                  <ns5:sSub>
                    <ns5:e>
                      <ns5:r>
                        <ns5:t>n</ns5:t>
                      </ns5:r>
                    </ns5:e>
                    <ns5:sub>
                      <ns5:r>
                        <ns5:t>2</ns5:t>
                      </ns5:r>
                    </ns5:sub>
                  </ns5:sSub>
                </ns5:e>
              </ns5:rad>
            </ns5:den>
          </ns5:f>
          <ns5:r>
            <ns5:rPr>
              <ns5:sty ns5:val="p"/>
            </ns5:rPr>
            <ns5:t>,</ns5:t>
          </ns5:r>
          <ns5:r>
            <ns5:t>  </ns5:t>
          </ns5:r>
          <ns5:r>
            <ns5:t>d</ns5:t>
          </ns5:r>
          <ns5:r>
            <ns5:t>f</ns5:t>
          </ns5:r>
          <ns5:r>
            <ns5:rPr>
              <ns5:sty ns5:val="p"/>
            </ns5:rPr>
            <ns5:t>=</ns5:t>
          </ns5:r>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r>
            <ns5:rPr>
              <ns5:sty ns5:val="p"/>
            </ns5:rPr>
            <ns5:t>.</ns5:t>
          </ns5:r>
        </ns5:oMath>
      </ns5:oMathPara>
    </w:p>
    <w:p>
      <w:pPr>
        <w:pStyle w:val="FirstParagraph"/>
      </w:pPr>
      <w:r>
        <w:t xml:space="preserve">Intervali përkatës i dyanshëm e zëvendëson numëruesin me</w:t>
      </w:r>
    </w:p>
    <w:p>
      <w:pPr>
        <w:pStyle w:val="BodyText"/>
      </w:pPr>
      <ns5:oMathPara>
        <ns5:oMathParaPr>
          <ns5:jc ns5:val="center"/>
        </ns5:oMathParaPr>
        <ns5:oMath>
          <ns5:d>
            <ns5:dPr>
              <ns5:begChr ns5:val="("/>
              <ns5:sepChr ns5:val=""/>
              <ns5:endChr ns5:val=")"/>
              <ns5:grow/>
            </ns5:dPr>
            <ns5:e>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e>
          </ns5:d>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sub>
          </ns5:sSub>
          <ns5:sSub>
            <ns5:e>
              <ns5:r>
                <ns5:t>s</ns5:t>
              </ns5:r>
            </ns5:e>
            <ns5:sub>
              <ns5:r>
                <ns5:t>p</ns5:t>
              </ns5:r>
            </ns5:sub>
          </ns5:sSub>
          <ns5:rad>
            <ns5:radPr>
              <ns5:degHide ns5:val="on"/>
            </ns5:radPr>
            <ns5:deg/>
            <ns5:e>
              <ns5:f>
                <ns5:fPr>
                  <ns5:type ns5:val="bar"/>
                </ns5:fPr>
                <ns5:num>
                  <ns5:r>
                    <ns5:t>1</ns5:t>
                  </ns5:r>
                </ns5:num>
                <ns5:den>
                  <ns5:sSub>
                    <ns5:e>
                      <ns5:r>
                        <ns5:t>n</ns5:t>
                      </ns5:r>
                    </ns5:e>
                    <ns5:sub>
                      <ns5:r>
                        <ns5:t>1</ns5:t>
                      </ns5:r>
                    </ns5:sub>
                  </ns5:sSub>
                </ns5:den>
              </ns5:f>
              <ns5:r>
                <ns5:rPr>
                  <ns5:sty ns5:val="p"/>
                </ns5:rPr>
                <ns5:t>+</ns5:t>
              </ns5:r>
              <ns5:f>
                <ns5:fPr>
                  <ns5:type ns5:val="bar"/>
                </ns5:fPr>
                <ns5:num>
                  <ns5:r>
                    <ns5:t>1</ns5:t>
                  </ns5:r>
                </ns5:num>
                <ns5:den>
                  <ns5:sSub>
                    <ns5:e>
                      <ns5:r>
                        <ns5:t>n</ns5:t>
                      </ns5:r>
                    </ns5:e>
                    <ns5:sub>
                      <ns5:r>
                        <ns5:t>2</ns5:t>
                      </ns5:r>
                    </ns5:sub>
                  </ns5:sSub>
                </ns5:den>
              </ns5:f>
            </ns5:e>
          </ns5:rad>
          <ns5:r>
            <ns5:rPr>
              <ns5:sty ns5:val="p"/>
            </ns5:rPr>
            <ns5:t>.</ns5:t>
          </ns5:r>
        </ns5:oMath>
      </ns5:oMathPara>
    </w:p>
    <w:p>
      <w:pPr>
        <w:pStyle w:val="FirstParagraph"/>
      </w:pPr>
      <w:r>
        <w:t xml:space="preserve">Kushti i variancave të barabarta, emri i procedurës dhe llogaritja duhet të përputhen. Të dhënat me çifte kërkojnë procedurën me pikëzime të dallimeve.</w:t>
      </w:r>
    </w:p>
    <w:p>
      <w:pPr>
        <w:pStyle w:val="BodyText"/>
      </w:pPr>
      <w:r>
        <w:t xml:space="preserve">Për një pyetje planifikimi me një kampion dhe me</w:t>
      </w:r>
      <w:r>
        <w:t xml:space="preserve"> </w:t>
      </w:r>
      <ns5:oMath>
        <ns5:r>
          <ns5:t>σ</ns5:t>
        </ns5:r>
      </ns5:oMath>
      <w:r>
        <w:t xml:space="preserve"> </w:t>
      </w:r>
      <w:r>
        <w:t xml:space="preserve">të njohur, përkufizo dallimin e standardizuar të popullatës</w:t>
      </w:r>
    </w:p>
    <w:p>
      <w:pPr>
        <w:pStyle w:val="BodyText"/>
      </w:pPr>
      <ns5:oMathPara>
        <ns5:oMathParaPr>
          <ns5:jc ns5:val="center"/>
        </ns5:oMathParaPr>
        <ns5:oMath>
          <ns5:r>
            <ns5:t>δ</ns5:t>
          </ns5:r>
          <ns5:r>
            <ns5:rPr>
              <ns5:sty ns5:val="p"/>
            </ns5:rPr>
            <ns5:t>=</ns5:t>
          </ns5:r>
          <ns5:f>
            <ns5:fPr>
              <ns5:type ns5:val="bar"/>
            </ns5:fPr>
            <ns5:num>
              <ns5:r>
                <ns5:t>μ</ns5:t>
              </ns5:r>
              <ns5:r>
                <ns5:rPr>
                  <ns5:sty ns5:val="p"/>
                </ns5:rPr>
                <ns5:t>−</ns5:t>
              </ns5:r>
              <ns5:sSub>
                <ns5:e>
                  <ns5:r>
                    <ns5:t>μ</ns5:t>
                  </ns5:r>
                </ns5:e>
                <ns5:sub>
                  <ns5:r>
                    <ns5:t>0</ns5:t>
                  </ns5:r>
                </ns5:sub>
              </ns5:sSub>
            </ns5:num>
            <ns5:den>
              <ns5:r>
                <ns5:t>σ</ns5:t>
              </ns5:r>
            </ns5:den>
          </ns5:f>
          <ns5:r>
            <ns5:rPr>
              <ns5:sty ns5:val="p"/>
            </ns5:rPr>
            <ns5:t>,</ns5:t>
          </ns5:r>
          <ns5:r>
            <ns5:t>  </ns5:t>
          </ns5:r>
          <ns5:r>
            <ns5:rPr>
              <ns5:nor/>
              <ns5:sty ns5:val="p"/>
            </ns5:rPr>
            <ns5:t>Fuqia</ns5:t>
          </ns5:r>
          <ns5:r>
            <ns5:rPr>
              <ns5:sty ns5:val="p"/>
            </ns5:rPr>
            <ns5:t>=</ns5:t>
          </ns5:r>
          <ns5:r>
            <ns5:t>1</ns5:t>
          </ns5:r>
          <ns5:r>
            <ns5:rPr>
              <ns5:sty ns5:val="p"/>
            </ns5:rPr>
            <ns5:t>−</ns5:t>
          </ns5:r>
          <ns5:r>
            <ns5:t>β</ns5:t>
          </ns5:r>
          <ns5:r>
            <ns5:rPr>
              <ns5:sty ns5:val="p"/>
            </ns5:rPr>
            <ns5:t>.</ns5:t>
          </ns5:r>
        </ns5:oMath>
      </ns5:oMathPara>
    </w:p>
    <w:p>
      <w:pPr>
        <w:pStyle w:val="FirstParagraph"/>
      </w:pPr>
      <w:r>
        <w:t xml:space="preserve">Në modelin e njëanshëm z për planifikim që përdoret në materialin e dhënë, madhësia e kampionit që nevojitet për nivelin e rëndësisë</w:t>
      </w:r>
      <w:r>
        <w:t xml:space="preserve"> </w:t>
      </w:r>
      <ns5:oMath>
        <ns5:r>
          <ns5:t>α</ns5:t>
        </ns5:r>
      </ns5:oMath>
      <w:r>
        <w:t xml:space="preserve"> </w:t>
      </w:r>
      <w:r>
        <w:t xml:space="preserve">dhe fuqinë e synuar</w:t>
      </w:r>
      <w:r>
        <w:t xml:space="preserve"> </w:t>
      </w:r>
      <ns5:oMath>
        <ns5:r>
          <ns5:t>1</ns5:t>
        </ns5:r>
        <ns5:r>
          <ns5:rPr>
            <ns5:sty ns5:val="p"/>
          </ns5:rPr>
          <ns5:t>−</ns5:t>
        </ns5:r>
        <ns5:r>
          <ns5:t>β</ns5:t>
        </ns5:r>
      </ns5:oMath>
      <w:r>
        <w:t xml:space="preserve"> </w:t>
      </w:r>
      <w:r>
        <w:t xml:space="preserve">është</w:t>
      </w:r>
    </w:p>
    <w:p>
      <w:pPr>
        <w:pStyle w:val="BodyText"/>
      </w:pPr>
      <ns5:oMathPara>
        <ns5:oMathParaPr>
          <ns5:jc ns5:val="center"/>
        </ns5:oMathParaPr>
        <ns5:oMath>
          <ns5:r>
            <ns5:t>n</ns5:t>
          </ns5:r>
          <ns5:r>
            <ns5:rPr>
              <ns5:sty ns5:val="p"/>
            </ns5:rPr>
            <ns5:t>=</ns5:t>
          </ns5:r>
          <ns5:sSup>
            <ns5:e>
              <ns5:d>
                <ns5:dPr>
                  <ns5:begChr ns5:val="("/>
                  <ns5:sepChr ns5:val=""/>
                  <ns5:endChr ns5:val=")"/>
                  <ns5:grow/>
                </ns5:dPr>
                <ns5:e>
                  <ns5:f>
                    <ns5:fPr>
                      <ns5:type ns5:val="bar"/>
                    </ns5:fPr>
                    <ns5:num>
                      <ns5:sSub>
                        <ns5:e>
                          <ns5:r>
                            <ns5:t>z</ns5:t>
                          </ns5:r>
                        </ns5:e>
                        <ns5:sub>
                          <ns5:r>
                            <ns5:t>1</ns5:t>
                          </ns5:r>
                          <ns5:r>
                            <ns5:rPr>
                              <ns5:sty ns5:val="p"/>
                            </ns5:rPr>
                            <ns5:t>−</ns5:t>
                          </ns5:r>
                          <ns5:r>
                            <ns5:t>α</ns5:t>
                          </ns5:r>
                        </ns5:sub>
                      </ns5:sSub>
                      <ns5:r>
                        <ns5:rPr>
                          <ns5:sty ns5:val="p"/>
                        </ns5:rPr>
                        <ns5:t>+</ns5:t>
                      </ns5:r>
                      <ns5:sSub>
                        <ns5:e>
                          <ns5:r>
                            <ns5:t>z</ns5:t>
                          </ns5:r>
                        </ns5:e>
                        <ns5:sub>
                          <ns5:r>
                            <ns5:t>1</ns5:t>
                          </ns5:r>
                          <ns5:r>
                            <ns5:rPr>
                              <ns5:sty ns5:val="p"/>
                            </ns5:rPr>
                            <ns5:t>−</ns5:t>
                          </ns5:r>
                          <ns5:r>
                            <ns5:t>β</ns5:t>
                          </ns5:r>
                        </ns5:sub>
                      </ns5:sSub>
                    </ns5:num>
                    <ns5:den>
                      <ns5:r>
                        <ns5:t>δ</ns5:t>
                      </ns5:r>
                    </ns5:den>
                  </ns5:f>
                </ns5:e>
              </ns5:d>
            </ns5:e>
            <ns5:sup>
              <ns5:r>
                <ns5:t>2</ns5:t>
              </ns5:r>
            </ns5:sup>
          </ns5:sSup>
          <ns5:r>
            <ns5:rPr>
              <ns5:sty ns5:val="p"/>
            </ns5:rPr>
            <ns5:t>.</ns5:t>
          </ns5:r>
        </ns5:oMath>
      </ns5:oMathPara>
    </w:p>
    <w:p>
      <w:pPr>
        <w:pStyle w:val="FirstParagraph"/>
      </w:pPr>
      <w:r>
        <w:t xml:space="preserve">Rrumbullakoje rezultatin lart. Kjo formulë i përket modelit të deklaruar dhe nuk është një rregull universal për madhësinë e kampionit. Fuqia rritet me madhësinë e kampionit dhe madhësinë e efektit, ndërsa ulet kur një nivel më i rreptë i rëndësisë e zhvendos kufirin e refuzimit më larg në bisht.</w:t>
      </w:r>
    </w:p>
    <w:p>
      <w:pPr>
        <w:pStyle w:val="BodyText"/>
      </w:pPr>
      <w:r>
        <w:t xml:space="preserve">Për dy ndryshore kategorike, numërimi i pritur nën pavarësi në rreshtin</w:t>
      </w:r>
      <w:r>
        <w:t xml:space="preserve"> </w:t>
      </w:r>
      <ns5:oMath>
        <ns5:r>
          <ns5:t>i</ns5:t>
        </ns5:r>
      </ns5:oMath>
      <w:r>
        <w:t xml:space="preserve"> </w:t>
      </w:r>
      <w:r>
        <w:t xml:space="preserve">dhe kolonën</w:t>
      </w:r>
      <w:r>
        <w:t xml:space="preserve"> </w:t>
      </w:r>
      <ns5:oMath>
        <ns5:r>
          <ns5:t>j</ns5:t>
        </ns5:r>
      </ns5:oMath>
      <w:r>
        <w:t xml:space="preserve"> </w:t>
      </w:r>
      <w:r>
        <w:t xml:space="preserve">është</w:t>
      </w:r>
    </w:p>
    <w:p>
      <w:pPr>
        <w:pStyle w:val="BodyText"/>
      </w:pPr>
      <ns5:oMathPara>
        <ns5:oMathParaPr>
          <ns5:jc ns5:val="center"/>
        </ns5:oMathParaPr>
        <ns5:oMath>
          <ns5:sSub>
            <ns5:e>
              <ns5:r>
                <ns5:t>m</ns5:t>
              </ns5:r>
            </ns5:e>
            <ns5:sub>
              <ns5:r>
                <ns5:t>i</ns5:t>
              </ns5:r>
              <ns5:r>
                <ns5:t>j</ns5:t>
              </ns5:r>
            </ns5:sub>
          </ns5:sSub>
          <ns5:r>
            <ns5:rPr>
              <ns5:sty ns5:val="p"/>
            </ns5:rPr>
            <ns5:t>=</ns5:t>
          </ns5:r>
          <ns5:f>
            <ns5:fPr>
              <ns5:type ns5:val="bar"/>
            </ns5:fPr>
            <ns5:num>
              <ns5:sSub>
                <ns5:e>
                  <ns5:r>
                    <ns5:t>n</ns5:t>
                  </ns5:r>
                </ns5:e>
                <ns5:sub>
                  <ns5:r>
                    <ns5:t>i</ns5:t>
                  </ns5:r>
                  <ns5:r>
                    <ns5:rPr>
                      <ns5:sty ns5:val="p"/>
                    </ns5:rPr>
                    <ns5:t>⋅</ns5:t>
                  </ns5:r>
                </ns5:sub>
              </ns5:sSub>
              <ns5:sSub>
                <ns5:e>
                  <ns5:r>
                    <ns5:t>n</ns5:t>
                  </ns5:r>
                </ns5:e>
                <ns5:sub>
                  <ns5:r>
                    <ns5:rPr>
                      <ns5:sty ns5:val="p"/>
                    </ns5:rPr>
                    <ns5:t>⋅</ns5:t>
                  </ns5:r>
                  <ns5:r>
                    <ns5:t>j</ns5:t>
                  </ns5:r>
                </ns5:sub>
              </ns5:sSub>
            </ns5:num>
            <ns5:den>
              <ns5:r>
                <ns5:t>n</ns5:t>
              </ns5:r>
            </ns5:den>
          </ns5:f>
          <ns5:r>
            <ns5:rPr>
              <ns5:sty ns5:val="p"/>
            </ns5:rPr>
            <ns5:t>.</ns5:t>
          </ns5:r>
        </ns5:oMath>
      </ns5:oMathPara>
    </w:p>
    <w:p>
      <w:pPr>
        <w:pStyle w:val="FirstParagraph"/>
      </w:pPr>
      <w:r>
        <w:t xml:space="preserve">Statistika hi-katror dhe shkallët e lirisë janë</w:t>
      </w:r>
    </w:p>
    <w:p>
      <w:pPr>
        <w:pStyle w:val="BodyText"/>
      </w:pPr>
      <ns5:oMathPara>
        <ns5:oMathParaPr>
          <ns5:jc ns5:val="center"/>
        </ns5:oMathParaPr>
        <ns5:oMath>
          <ns5:sSup>
            <ns5:e>
              <ns5:r>
                <ns5:t>χ</ns5:t>
              </ns5:r>
            </ns5:e>
            <ns5:sup>
              <ns5:r>
                <ns5:t>2</ns5:t>
              </ns5:r>
            </ns5:sup>
          </ns5:sSup>
          <ns5:r>
            <ns5:rPr>
              <ns5:sty ns5:val="p"/>
            </ns5:rPr>
            <ns5:t>=</ns5:t>
          </ns5:r>
          <ns5:nary>
            <ns5:naryPr>
              <ns5:chr ns5:val="∑"/>
              <ns5:limLoc ns5:val="undOvr"/>
              <ns5:subHide ns5:val="off"/>
              <ns5:supHide ns5:val="on"/>
            </ns5:naryPr>
            <ns5:sub>
              <ns5:r>
                <ns5:t>i</ns5:t>
              </ns5:r>
            </ns5:sub>
            <ns5:sup>
              <ns5:r>
                <ns5:t>​</ns5:t>
              </ns5:r>
            </ns5:sup>
            <ns5:e>
              <ns5:nary>
                <ns5:naryPr>
                  <ns5:chr ns5:val="∑"/>
                  <ns5:limLoc ns5:val="undOvr"/>
                  <ns5:subHide ns5:val="off"/>
                  <ns5:supHide ns5:val="on"/>
                </ns5:naryPr>
                <ns5:sub>
                  <ns5:r>
                    <ns5:t>j</ns5:t>
                  </ns5:r>
                </ns5:sub>
                <ns5:sup>
                  <ns5:r>
                    <ns5:t>​</ns5:t>
                  </ns5:r>
                </ns5:sup>
                <ns5:e>
                  <ns5:f>
                    <ns5:fPr>
                      <ns5:type ns5:val="bar"/>
                    </ns5:fPr>
                    <ns5:num>
                      <ns5:sSup>
                        <ns5:e>
                          <ns5:d>
                            <ns5:dPr>
                              <ns5:begChr ns5:val="("/>
                              <ns5:sepChr ns5:val=""/>
                              <ns5:endChr ns5:val=")"/>
                              <ns5:grow/>
                            </ns5:dPr>
                            <ns5:e>
                              <ns5:sSub>
                                <ns5:e>
                                  <ns5:r>
                                    <ns5:t>n</ns5:t>
                                  </ns5:r>
                                </ns5:e>
                                <ns5:sub>
                                  <ns5:r>
                                    <ns5:t>i</ns5:t>
                                  </ns5:r>
                                  <ns5:r>
                                    <ns5:t>j</ns5:t>
                                  </ns5:r>
                                </ns5:sub>
                              </ns5:sSub>
                              <ns5:r>
                                <ns5:rPr>
                                  <ns5:sty ns5:val="p"/>
                                </ns5:rPr>
                                <ns5:t>−</ns5:t>
                              </ns5:r>
                              <ns5:sSub>
                                <ns5:e>
                                  <ns5:r>
                                    <ns5:t>m</ns5:t>
                                  </ns5:r>
                                </ns5:e>
                                <ns5:sub>
                                  <ns5:r>
                                    <ns5:t>i</ns5:t>
                                  </ns5:r>
                                  <ns5:r>
                                    <ns5:t>j</ns5:t>
                                  </ns5:r>
                                </ns5:sub>
                              </ns5:sSub>
                            </ns5:e>
                          </ns5:d>
                        </ns5:e>
                        <ns5:sup>
                          <ns5:r>
                            <ns5:t>2</ns5:t>
                          </ns5:r>
                        </ns5:sup>
                      </ns5:sSup>
                    </ns5:num>
                    <ns5:den>
                      <ns5:sSub>
                        <ns5:e>
                          <ns5:r>
                            <ns5:t>m</ns5:t>
                          </ns5:r>
                        </ns5:e>
                        <ns5:sub>
                          <ns5:r>
                            <ns5:t>i</ns5:t>
                          </ns5:r>
                          <ns5:r>
                            <ns5:t>j</ns5:t>
                          </ns5:r>
                        </ns5:sub>
                      </ns5:sSub>
                    </ns5:den>
                  </ns5:f>
                </ns5:e>
              </ns5:nary>
            </ns5:e>
          </ns5:nary>
          <ns5:r>
            <ns5:rPr>
              <ns5:sty ns5:val="p"/>
            </ns5:rPr>
            <ns5:t>,</ns5:t>
          </ns5:r>
          <ns5:r>
            <ns5:t>  </ns5:t>
          </ns5:r>
          <ns5:r>
            <ns5:t>d</ns5:t>
          </ns5:r>
          <ns5:r>
            <ns5:t>f</ns5:t>
          </ns5:r>
          <ns5:r>
            <ns5:rPr>
              <ns5:sty ns5:val="p"/>
            </ns5:rPr>
            <ns5:t>=</ns5:t>
          </ns5:r>
          <ns5:d>
            <ns5:dPr>
              <ns5:begChr ns5:val="("/>
              <ns5:sepChr ns5:val=""/>
              <ns5:endChr ns5:val=")"/>
              <ns5:grow/>
            </ns5:dPr>
            <ns5:e>
              <ns5:r>
                <ns5:t>k</ns5:t>
              </ns5:r>
              <ns5:r>
                <ns5:rPr>
                  <ns5:sty ns5:val="p"/>
                </ns5:rPr>
                <ns5:t>−</ns5:t>
              </ns5:r>
              <ns5:r>
                <ns5:t>1</ns5:t>
              </ns5:r>
            </ns5:e>
          </ns5:d>
          <ns5:d>
            <ns5:dPr>
              <ns5:begChr ns5:val="("/>
              <ns5:sepChr ns5:val=""/>
              <ns5:endChr ns5:val=")"/>
              <ns5:grow/>
            </ns5:dPr>
            <ns5:e>
              <ns5:r>
                <ns5:t>l</ns5:t>
              </ns5:r>
              <ns5:r>
                <ns5:rPr>
                  <ns5:sty ns5:val="p"/>
                </ns5:rPr>
                <ns5:t>−</ns5:t>
              </ns5:r>
              <ns5:r>
                <ns5:t>1</ns5:t>
              </ns5:r>
            </ns5:e>
          </ns5:d>
          <ns5:r>
            <ns5:rPr>
              <ns5:sty ns5:val="p"/>
            </ns5:rPr>
            <ns5:t>.</ns5:t>
          </ns5:r>
        </ns5:oMath>
      </ns5:oMathPara>
    </w:p>
    <w:p>
      <w:pPr>
        <w:pStyle w:val="FirstParagraph"/>
      </w:pPr>
      <w:r>
        <w:t xml:space="preserve">Për një tabelë dy me dy, madhësia e koeficientit phi është</w:t>
      </w:r>
    </w:p>
    <w:p>
      <w:pPr>
        <w:pStyle w:val="BodyText"/>
      </w:pPr>
      <ns5:oMathPara>
        <ns5:oMathParaPr>
          <ns5:jc ns5:val="center"/>
        </ns5:oMathParaPr>
        <ns5:oMath>
          <ns5:d>
            <ns5:dPr>
              <ns5:begChr ns5:val="|"/>
              <ns5:sepChr ns5:val=""/>
              <ns5:endChr ns5:val="|"/>
              <ns5:grow/>
            </ns5:dPr>
            <ns5:e>
              <ns5:r>
                <ns5:t>ϕ</ns5:t>
              </ns5:r>
            </ns5:e>
          </ns5:d>
          <ns5:r>
            <ns5:rPr>
              <ns5:sty ns5:val="p"/>
            </ns5:rPr>
            <ns5:t>=</ns5:t>
          </ns5:r>
          <ns5:rad>
            <ns5:radPr>
              <ns5:degHide ns5:val="on"/>
            </ns5:radPr>
            <ns5:deg/>
            <ns5:e>
              <ns5:f>
                <ns5:fPr>
                  <ns5:type ns5:val="bar"/>
                </ns5:fPr>
                <ns5:num>
                  <ns5:sSup>
                    <ns5:e>
                      <ns5:r>
                        <ns5:t>χ</ns5:t>
                      </ns5:r>
                    </ns5:e>
                    <ns5:sup>
                      <ns5:r>
                        <ns5:t>2</ns5:t>
                      </ns5:r>
                    </ns5:sup>
                  </ns5:sSup>
                </ns5:num>
                <ns5:den>
                  <ns5:r>
                    <ns5:t>n</ns5:t>
                  </ns5:r>
                </ns5:den>
              </ns5:f>
            </ns5:e>
          </ns5:rad>
          <ns5:r>
            <ns5:rPr>
              <ns5:sty ns5:val="p"/>
            </ns5:rPr>
            <ns5:t>.</ns5:t>
          </ns5:r>
        </ns5:oMath>
      </ns5:oMathPara>
    </w:p>
    <w:p>
      <w:pPr>
        <w:pStyle w:val="FirstParagraph"/>
      </w:pPr>
      <w:r>
        <w:t xml:space="preserve">Përafrimi që përdoret në këtë rrjedhë mësimore kërkon një kampion të thjeshtë të rastësishëm dhe numërime të pritshme më të mëdha se 5 në secilën qelizë. Një</w:t>
      </w:r>
      <w:r>
        <w:t xml:space="preserve"> </w:t>
      </w:r>
      <ns5:oMath>
        <ns5:sSup>
          <ns5:e>
            <ns5:r>
              <ns5:t>χ</ns5:t>
            </ns5:r>
          </ns5:e>
          <ns5:sup>
            <ns5:r>
              <ns5:t>2</ns5:t>
            </ns5:r>
          </ns5:sup>
        </ns5:sSup>
      </ns5:oMath>
      <w:r>
        <w:t xml:space="preserve"> </w:t>
      </w:r>
      <w:r>
        <w:t xml:space="preserve">e madhe numëron kundër pavarësisë. Ajo nuk është evidencë për pavarësi.</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3048"/>
        <w:gridCol w:w="3333"/>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Struktura e pyetjes</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Procedura e paraqitur</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Madhësia që analizohet</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Një kampion kundrejt një reference</w:t>
            </w:r>
          </w:p>
        </w:tc>
        <w:tc>
          <w:tcPr>
            <w:tcW w:w="3048" w:type="dxa"/>
            <w:shd w:fill="F3F7F9"/>
            <w:vAlign w:val="top"/>
          </w:tcPr>
          <w:p>
            <w:pPr>
              <w:pStyle w:val="Compact"/>
              <w:keepLines/>
              <w:widowControl/>
              <w:spacing w:before="0" w:after="40" w:line="240" w:lineRule="auto"/>
              <w:jc w:val="left"/>
            </w:pPr>
            <w:r>
              <w:rPr>
                <w:sz w:val="20"/>
                <w:szCs w:val="20"/>
              </w:rPr>
              <w:t xml:space="preserve">Procedura z ose t për një kampion</w:t>
            </w:r>
          </w:p>
        </w:tc>
        <w:tc>
          <w:tcPr>
            <w:tcW w:w="3333" w:type="dxa"/>
            <w:shd w:fill="F3F7F9"/>
            <w:vAlign w:val="top"/>
          </w:tcPr>
          <w:p>
            <w:pPr>
              <w:pStyle w:val="Compact"/>
              <w:keepLines/>
              <w:widowControl/>
              <w:spacing w:before="0" w:after="40" w:line="240" w:lineRule="auto"/>
              <w:jc w:val="left"/>
            </w:pPr>
            <w:r>
              <w:rPr>
                <w:sz w:val="20"/>
                <w:szCs w:val="20"/>
              </w:rPr>
              <w:t xml:space="preserve">Mesatarja e një kampioni</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Dy grupe të ndara</w:t>
            </w:r>
          </w:p>
        </w:tc>
        <w:tc>
          <w:tcPr>
            <w:tcW w:w="3048" w:type="dxa"/>
            <w:shd w:fill="FFFFFF"/>
            <w:vAlign w:val="top"/>
          </w:tcPr>
          <w:p>
            <w:pPr>
              <w:pStyle w:val="Compact"/>
              <w:keepLines/>
              <w:widowControl/>
              <w:spacing w:before="0" w:after="40" w:line="240" w:lineRule="auto"/>
              <w:jc w:val="left"/>
            </w:pPr>
            <w:r>
              <w:rPr>
                <w:sz w:val="20"/>
                <w:szCs w:val="20"/>
              </w:rPr>
              <w:t xml:space="preserve">Procedura t me variancë të përbashkët për kampione të pavarura</w:t>
            </w:r>
          </w:p>
        </w:tc>
        <w:tc>
          <w:tcPr>
            <w:tcW w:w="3333" w:type="dxa"/>
            <w:shd w:fill="FFFFFF"/>
            <w:vAlign w:val="top"/>
          </w:tcPr>
          <w:p>
            <w:pPr>
              <w:pStyle w:val="Compact"/>
              <w:keepLines/>
              <w:widowControl/>
              <w:spacing w:before="0" w:after="40" w:line="240" w:lineRule="auto"/>
              <w:jc w:val="left"/>
            </w:pPr>
            <w:r>
              <w:rPr>
                <w:sz w:val="20"/>
                <w:szCs w:val="20"/>
              </w:rPr>
              <w:t xml:space="preserve">Dallimi mes mesatareve të grupeve</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Dy matje të lidhura</w:t>
            </w:r>
          </w:p>
        </w:tc>
        <w:tc>
          <w:tcPr>
            <w:tcW w:w="3048" w:type="dxa"/>
            <w:shd w:fill="F3F7F9"/>
            <w:vAlign w:val="top"/>
          </w:tcPr>
          <w:p>
            <w:pPr>
              <w:pStyle w:val="Compact"/>
              <w:keepLines/>
              <w:widowControl/>
              <w:spacing w:before="0" w:after="40" w:line="240" w:lineRule="auto"/>
              <w:jc w:val="left"/>
            </w:pPr>
            <w:r>
              <w:rPr>
                <w:sz w:val="20"/>
                <w:szCs w:val="20"/>
              </w:rPr>
              <w:t xml:space="preserve">Procedura t me çifte</w:t>
            </w:r>
          </w:p>
        </w:tc>
        <w:tc>
          <w:tcPr>
            <w:tcW w:w="3333" w:type="dxa"/>
            <w:shd w:fill="F3F7F9"/>
            <w:vAlign w:val="top"/>
          </w:tcPr>
          <w:p>
            <w:pPr>
              <w:pStyle w:val="Compact"/>
              <w:keepLines/>
              <w:widowControl/>
              <w:spacing w:before="0" w:after="40" w:line="240" w:lineRule="auto"/>
              <w:jc w:val="left"/>
            </w:pPr>
            <w:r>
              <w:rPr>
                <w:sz w:val="20"/>
                <w:szCs w:val="20"/>
              </w:rPr>
              <w:t xml:space="preserve">Mesatarja e dallimeve brenda çifteve</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Grupe të pavarura me një pyetje të bazuar në rangje</w:t>
            </w:r>
          </w:p>
        </w:tc>
        <w:tc>
          <w:tcPr>
            <w:tcW w:w="3048" w:type="dxa"/>
            <w:shd w:fill="FFFFFF"/>
            <w:vAlign w:val="top"/>
          </w:tcPr>
          <w:p>
            <w:pPr>
              <w:pStyle w:val="Compact"/>
              <w:keepLines/>
              <w:widowControl/>
              <w:spacing w:before="0" w:after="40" w:line="240" w:lineRule="auto"/>
              <w:jc w:val="left"/>
            </w:pPr>
            <w:r>
              <w:rPr>
                <w:sz w:val="20"/>
                <w:szCs w:val="20"/>
              </w:rPr>
              <w:t xml:space="preserve">Procedura e shumës së rangjeve të Wilcoxon-it</w:t>
            </w:r>
          </w:p>
        </w:tc>
        <w:tc>
          <w:tcPr>
            <w:tcW w:w="3333" w:type="dxa"/>
            <w:shd w:fill="FFFFFF"/>
            <w:vAlign w:val="top"/>
          </w:tcPr>
          <w:p>
            <w:pPr>
              <w:pStyle w:val="Compact"/>
              <w:keepLines/>
              <w:widowControl/>
              <w:spacing w:before="0" w:after="40" w:line="240" w:lineRule="auto"/>
              <w:jc w:val="left"/>
            </w:pPr>
            <w:r>
              <w:rPr>
                <w:sz w:val="20"/>
                <w:szCs w:val="20"/>
              </w:rPr>
              <w:t xml:space="preserve">Rangjet relative mes grupeve</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Vrojtime me çifte me një pyetje të bazuar në rangje</w:t>
            </w:r>
          </w:p>
        </w:tc>
        <w:tc>
          <w:tcPr>
            <w:tcW w:w="3048" w:type="dxa"/>
            <w:shd w:fill="F3F7F9"/>
            <w:vAlign w:val="top"/>
          </w:tcPr>
          <w:p>
            <w:pPr>
              <w:pStyle w:val="Compact"/>
              <w:keepLines/>
              <w:widowControl/>
              <w:spacing w:before="0" w:after="40" w:line="240" w:lineRule="auto"/>
              <w:jc w:val="left"/>
            </w:pPr>
            <w:r>
              <w:rPr>
                <w:sz w:val="20"/>
                <w:szCs w:val="20"/>
              </w:rPr>
              <w:t xml:space="preserve">Procedura e rangjeve me shenjë të Wilcoxon-it</w:t>
            </w:r>
          </w:p>
        </w:tc>
        <w:tc>
          <w:tcPr>
            <w:tcW w:w="3333" w:type="dxa"/>
            <w:shd w:fill="F3F7F9"/>
            <w:vAlign w:val="top"/>
          </w:tcPr>
          <w:p>
            <w:pPr>
              <w:pStyle w:val="Compact"/>
              <w:keepLines/>
              <w:widowControl/>
              <w:spacing w:before="0" w:after="40" w:line="240" w:lineRule="auto"/>
              <w:jc w:val="left"/>
            </w:pPr>
            <w:r>
              <w:rPr>
                <w:sz w:val="20"/>
                <w:szCs w:val="20"/>
              </w:rPr>
              <w:t xml:space="preserve">Rangjet me shenjë të dallimeve të çiftuara</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Dy ndryshore kategorike</w:t>
            </w:r>
          </w:p>
        </w:tc>
        <w:tc>
          <w:tcPr>
            <w:tcW w:w="3048" w:type="dxa"/>
            <w:shd w:fill="FFFFFF"/>
            <w:vAlign w:val="top"/>
          </w:tcPr>
          <w:p>
            <w:pPr>
              <w:pStyle w:val="Compact"/>
              <w:keepLines/>
              <w:widowControl/>
              <w:spacing w:before="0" w:after="40" w:line="240" w:lineRule="auto"/>
              <w:jc w:val="left"/>
            </w:pPr>
            <w:r>
              <w:rPr>
                <w:sz w:val="20"/>
                <w:szCs w:val="20"/>
              </w:rPr>
              <w:t xml:space="preserve">Procedura hi-katror e pavarësisë</w:t>
            </w:r>
          </w:p>
        </w:tc>
        <w:tc>
          <w:tcPr>
            <w:tcW w:w="3333" w:type="dxa"/>
            <w:shd w:fill="FFFFFF"/>
            <w:vAlign w:val="top"/>
          </w:tcPr>
          <w:p>
            <w:pPr>
              <w:pStyle w:val="Compact"/>
              <w:keepLines/>
              <w:widowControl/>
              <w:spacing w:before="0" w:after="40" w:line="240" w:lineRule="auto"/>
              <w:jc w:val="left"/>
            </w:pPr>
            <w:r>
              <w:rPr>
                <w:sz w:val="20"/>
                <w:szCs w:val="20"/>
              </w:rPr>
              <w:t xml:space="preserve">Numërimet e vrojtuara kundrejt atyre të pritshme në qeliza</w:t>
            </w:r>
          </w:p>
        </w:tc>
      </w:tr>
    </w:tbl>
    <w:bookmarkEnd w:id="31"/>
    <w:bookmarkStart w:id="36" w:name="si-lexohet-figura-shpjeguese"/>
    <w:p>
      <w:pPr>
        <w:pStyle w:val="Heading2"/>
      </w:pPr>
      <w:r>
        <w:t xml:space="preserve">Si lexohet figura shpjeguese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5" w:name="fig-summary-t03"/>
          <w:p>
            <w:pPr>
              <w:pStyle w:val="Compact"/>
              <w:keepNext/>
              <w:jc w:val="center"/>
            </w:pPr>
            <w:r>
              <w:drawing>
                <ns1:inline>
                  <ns1:extent cx="5561584" cy="3283344"/>
                  <ns1:effectExtent b="0" l="0" r="0" t="0"/>
                  <ns1:docPr descr="Një rrjedhë horizontale kalon nga popullata te kampioni, te statistika e kampionit dhe pastaj te një përfundim i kujdesshëm për popullatën, ndërsa shpërndarja e kampionimit ushqen statistikën." title="Figura 1" id="33" name="Picture"/>
                  <ns2:graphic>
                    <ns2:graphicData uri="http://schemas.openxmlformats.org/drawingml/2006/picture">
                      <ns3:pic>
                        <ns3:nvPicPr>
                          <ns3:cNvPr descr="assets/topic-03-hypothesis-testing-summary-figure-sq.png" id="34" name="Picture"/>
                          <ns3:cNvPicPr>
                            <ns2:picLocks noChangeArrowheads="1" noChangeAspect="1"/>
                          </ns3:cNvPicPr>
                        </ns3:nvPicPr>
                        <ns3:blipFill>
                          <ns2:blip ns4:embed="rId32"/>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Figura 1: Një rrjedhë horizontale kalon nga popullata te kampioni, te statistika e kampionit dhe pastaj te një përfundim i kujdesshëm për popullatën, ndërsa shpërndarja e kampionimit ushqen statistikën.</w:t>
            </w:r>
          </w:p>
          <w:bookmarkEnd w:id="35"/>
        </w:tc>
      </w:tr>
    </w:tbl>
    <w:p>
      <w:pPr>
        <w:pStyle w:val="BodyText"/>
      </w:pPr>
      <w:r>
        <w:t xml:space="preserve">Lexoje vijën kryesore nga e majta në të djathtë. Popullata është synimi i pyetjes kërkimore. Kampioni është pjesa që bëhet e vrojtueshme. Një statistikë kampioni e përmbledh evidencën përkatëse, si një mesatare kampioni, dallim, përpjesëtim ose lidhje. Kutia e fundit quhet qëllimisht përfundim i kujdesshëm, sepse kthimi nga kampioni te popullata nuk është kurrë automatik.</w:t>
      </w:r>
    </w:p>
    <w:p>
      <w:pPr>
        <w:pStyle w:val="BodyText"/>
      </w:pPr>
      <w:r>
        <w:t xml:space="preserve">Shigjeta që ngrihet nga shpërndarja e kampionimit është ura që siguron probabiliteti. Ajo përfaqëson si do të ndryshonte statistika nëpër kampione të përsëritura sipas supozimeve të deklaruara. Intervali i besimit e përdor këtë ndryshueshmëri për të treguar saktësinë. Testi e krahason statistikën e vrojtuar me sjelljen e kampionimit që pritet nën</w:t>
      </w:r>
      <w:r>
        <w:t xml:space="preserve"> </w:t>
      </w:r>
      <ns5:oMath>
        <ns5:sSub>
          <ns5:e>
            <ns5:r>
              <ns5:t>H</ns5:t>
            </ns5:r>
          </ns5:e>
          <ns5:sub>
            <ns5:r>
              <ns5:t>0</ns5:t>
            </ns5:r>
          </ns5:sub>
        </ns5:sSub>
      </ns5:oMath>
      <w:r>
        <w:t xml:space="preserve">. Figura nuk nënkupton se një kampion i madh garanton përgjithësim. Metoda e kampionimit, matja, të dhënat që mungojnë, varësia dhe dizajni i studimit vazhdojnë të përcaktojnë se cili përfundim për popullatën mund të mbrohet.</w:t>
      </w:r>
    </w:p>
    <w:p>
      <w:pPr>
        <w:pStyle w:val="BodyText"/>
      </w:pPr>
      <w:r>
        <w:t xml:space="preserve">Ndarja mes «statistikës së kampionit» dhe «përfundimit për popullatën» është një pikë e dobishme ndalimi. Para se ta kalosh, pyet nëse gabimi standard pasqyron dizajnin real, nëse supozimet e procedurës janë të arsyeshme dhe nëse formulimi i përfundimit përputhet me atë që është testuar. Një rezultat mund të mbështetë një lidhje ose dallim pa vërtetuar një efekt shkakor.</w:t>
      </w:r>
    </w:p>
    <w:bookmarkEnd w:id="36"/>
    <w:bookmarkStart w:id="37" w:name="lista-e-kontrollit-për-interpretim"/>
    <w:p>
      <w:pPr>
        <w:pStyle w:val="Heading2"/>
      </w:pPr>
      <w:r>
        <w:t xml:space="preserve">Lista e kontrollit për interpretim</w:t>
      </w:r>
    </w:p>
    <w:p>
      <w:pPr>
        <w:pStyle w:val="FirstParagraph"/>
      </w:pPr>
      <w:r>
        <w:t xml:space="preserve">Trego popullatën, kampionin, parametrin, statistikën dhe njësinë e analizës. Përshkruaj si hynë rastet në kampion. Shqyrto të dhënat dhe identifiko vlerat që mungojnë ose vrojtimet e pazakonta. Përshtate procedurën me shkallën e ndryshores së rezultatit dhe me të dhënat e pavarura, me çifte ose kategorike. Shkruaji</w:t>
      </w:r>
      <w:r>
        <w:t xml:space="preserve"> </w:t>
      </w:r>
      <ns5:oMath>
        <ns5:sSub>
          <ns5:e>
            <ns5:r>
              <ns5:t>H</ns5:t>
            </ns5:r>
          </ns5:e>
          <ns5:sub>
            <ns5:r>
              <ns5:t>0</ns5:t>
            </ns5:r>
          </ns5:sub>
        </ns5:sSub>
      </ns5:oMath>
      <w:r>
        <w:t xml:space="preserve"> </w:t>
      </w:r>
      <w:r>
        <w:t xml:space="preserve">dhe</w:t>
      </w:r>
      <w:r>
        <w:t xml:space="preserve"> </w:t>
      </w:r>
      <ns5:oMath>
        <ns5:sSub>
          <ns5:e>
            <ns5:r>
              <ns5:t>H</ns5:t>
            </ns5:r>
          </ns5:e>
          <ns5:sub>
            <ns5:r>
              <ns5:t>1</ns5:t>
            </ns5:r>
          </ns5:sub>
        </ns5:sSub>
      </ns5:oMath>
      <w:r>
        <w:t xml:space="preserve"> </w:t>
      </w:r>
      <w:r>
        <w:t xml:space="preserve">me fjalë dhe simbole. Raporto vlerësimin dhe intervalin e besimit krahas statistikës së testit, shkallëve të lirisë kur zbatohen, vlerës p dhe një interpretimi në kontekst.</w:t>
      </w:r>
    </w:p>
    <w:p>
      <w:pPr>
        <w:pStyle w:val="BodyText"/>
      </w:pPr>
      <w:r>
        <w:t xml:space="preserve">Mos e kthe vlerën p në probabilitet se një hipotezë është e vërtetë. Mos e përdor rëndësinë statistikore si sinonim të rëndësisë praktike. Krahaso madhësinë dhe pasigurinë e vlerësimit me pyetjen kërkimore. Kur një rezultat nuk është statistikisht i rëndësishëm, diskuto intervalin dhe saktësinë e tij në vend që të deklarosh se grupet janë të barabarta. Kur kryhen disa teste, prano se mund të rritet mundësia për të paktën një gabim të llojit I dhe përdor një qasje të planifikuar për shumëfishësinë kur kërkohet.</w:t>
      </w:r>
    </w:p>
    <w:bookmarkEnd w:id="37"/>
    <w:bookmarkStart w:id="38" w:name="si-lidhet-kjo-temë-me-të-tjerat"/>
    <w:p>
      <w:pPr>
        <w:pStyle w:val="Heading2"/>
      </w:pPr>
      <w:r>
        <w:t xml:space="preserve">Si lidhet kjo temë me të tjerat</w:t>
      </w:r>
    </w:p>
    <w:p>
      <w:pPr>
        <w:pStyle w:val="FirstParagraph"/>
      </w:pPr>
      <w:r>
        <w:t xml:space="preserve">Probabiliteti siguroi shpërndarjet e kampionimit që i bëjnë të mundshme intervalet e besimit dhe testet. I njëjti model inferencial tani shoqëron çdo koeficient të mëvonshëm. Korrelacioni ka gabim standard dhe test. Pjerrësia e regresionit ka vlerësim, interval dhe vlerë p. Korrelacioni i pjesshëm dhe secili koeficient i regresionit të shumëfishtë interpretohen në mënyrë të kushtëzuar. Analiza e variancës përdor një statistikë</w:t>
      </w:r>
      <w:r>
        <w:t xml:space="preserve"> </w:t>
      </w:r>
      <ns5:oMath>
        <ns5:r>
          <ns5:t>F</ns5:t>
        </ns5:r>
      </ns5:oMath>
      <w:r>
        <w:t xml:space="preserve"> </w:t>
      </w:r>
      <w:r>
        <w:t xml:space="preserve">për të krahasuar ndryshueshmërinë që lidhet me modelin me ndryshueshmërinë reziduale.</w:t>
      </w:r>
    </w:p>
    <w:p>
      <w:pPr>
        <w:pStyle w:val="BodyText"/>
      </w:pPr>
      <w:r>
        <w:t xml:space="preserve">Prandaj inferenca nuk është një ritual i veçuar që i shtohet fundit të një analize. Ajo është një urë e disiplinuar nga evidenca përshkruese e kampionit te një pohim i kufizuar për popullatën. Mbajtja së bashku e vlerësimit, pasigurisë, dizajnit dhe kuptimit përmbajtësor e bën atë urë të besueshme.</w:t>
      </w:r>
    </w:p>
    <w:p>
      <w:pPr>
        <w:pBdr>
          <w:bottom w:val="single" w:sz="4" w:space="6" w:color="B8C6CF"/>
        </w:pBdr>
        <w:spacing w:before="60" w:after="100"/>
      </w:pPr>
    </w:p>
    <w:p>
      <w:pPr>
        <w:pStyle w:val="FirstParagraph"/>
      </w:pPr>
      <w:r>
        <w:rPr>
          <w:i/>
          <w:iCs/>
        </w:rPr>
        <w:t xml:space="preserve">ID-ja e dokumentit:</w:t>
      </w:r>
      <w:r>
        <w:rPr>
          <w:i/>
          <w:iCs/>
        </w:rPr>
        <w:t xml:space="preserve"> </w:t>
      </w:r>
      <w:r>
        <w:rPr>
          <w:rStyle w:val="VerbatimChar"/>
          <w:i/>
          <w:iCs/>
        </w:rPr>
        <w:t xml:space="preserve">topic-03-hypothesis-testing-summary-sq</w:t>
      </w:r>
    </w:p>
    <w:p>
      <w:r>
        <w:br w:type="page"/>
      </w:r>
    </w:p>
    <w:p>
      <w:pPr>
        <w:pStyle w:val="Heading1"/>
      </w:pPr>
      <w:r>
        <w:t>Shënime 1 nga 3</w:t>
      </w:r>
    </w:p>
    <w:p>
      <w:r>
        <w:rPr>
          <w:color w:val="526A79"/>
          <w:sz w:val="18"/>
          <w:szCs w:val="18"/>
        </w:rPr>
        <w:t>Testimi i hipotezave dhe intervalet e besimit | Tema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2 nga 3</w:t>
      </w:r>
    </w:p>
    <w:p>
      <w:r>
        <w:rPr>
          <w:color w:val="526A79"/>
          <w:sz w:val="18"/>
          <w:szCs w:val="18"/>
        </w:rPr>
        <w:t>Testimi i hipotezave dhe intervalet e besimit | Tema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3 nga 3</w:t>
      </w:r>
    </w:p>
    <w:p>
      <w:r>
        <w:rPr>
          <w:color w:val="526A79"/>
          <w:sz w:val="18"/>
          <w:szCs w:val="18"/>
        </w:rPr>
        <w:t>Testimi i hipotezave dhe intervalet e besimit | Tema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8"/>
    <w:bookmarkEnd w:id="39"/>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sq-AL" w:eastAsia="sq-AL" w:bidi="sq-AL"/>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sq-AL"/>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Testimi i hipotezave dhe intervalet e besimit</dc:title>
  <dc:creator>Ratiomera Statistics</dc:creator>
  <dc:language>sq-AL</dc:language>
  <cp:keywords/>
  <dcterms:created xsi:type="dcterms:W3CDTF">1970-01-01T00:00:00Z</dcterms:created>
  <dcterms:modified xsi:type="dcterms:W3CDTF">1970-01-01T00:00:00Z</dcterms:modified>
  <dc:subject>Përmbledhje teme nga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Nga evidenca e kampionit te përfundimet e kujdesshme për popullatën</vt:lpwstr>
  </property>
  <property fmtid="{D5CDD505-2E9C-101B-9397-08002B2CF9AE}" pid="13" name="toc-title">
    <vt:lpwstr>Përmbajtja</vt:lpwstr>
  </property>
</Properties>
</file>