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Regresioni i thjeshtë linear</w:t>
      </w:r>
    </w:p>
    <w:p>
      <w:pPr>
        <w:pStyle w:val="Subtitle"/>
      </w:pPr>
      <w:r>
        <w:t xml:space="preserve">Një model i udhëzuar i vlerave të përshtatura, pjerrësive dhe ndryshueshmërisë reziduale</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sq/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Hyrje në Statistikë | Tema 5</w:t>
      </w:r>
    </w:p>
    <w:bookmarkStart w:id="27" w:name="përmbledhja-e-faqes-së-kursit"/>
    <w:p>
      <w:pPr>
        <w:pStyle w:val="Heading1"/>
      </w:pPr>
      <w:r>
        <w:t xml:space="preserve">Përmbledhja e faqes së kursit</w:t>
      </w:r>
    </w:p>
    <w:p>
      <w:pPr>
        <w:pStyle w:val="FirstParagraph"/>
      </w:pPr>
      <w:r>
        <w:t xml:space="preserve">Regresioni i thjeshtë linear modelon mesataren e një rezultati sasior nga një parashikues. Nuk e parashikon saktë çdo rast. Vija e përshtatur përshkruan mesataren e kushtëzuar, ndërsa çdo rezidual regjistron dallimin mes vlerës së vrojtuar dhe asaj të përshtatur për një rast.</w:t>
      </w:r>
    </w:p>
    <w:bookmarkStart w:id="24" w:name="vija-e-përshtatur"/>
    <w:p>
      <w:pPr>
        <w:pStyle w:val="Heading2"/>
      </w:pPr>
      <w:r>
        <w:t xml:space="preserve">Vija e përshtatur</w:t>
      </w:r>
    </w:p>
    <w:p>
      <w:pPr>
        <w:pStyle w:val="FirstParagraph"/>
      </w:pPr>
      <w:r>
        <w:t xml:space="preserve">Modeli i popullatës është</w:t>
      </w:r>
    </w:p>
    <w:p>
      <w:pPr>
        <w:pStyle w:val="BodyText"/>
      </w:pPr>
      <ns5:oMathPara>
        <ns5:oMathParaPr>
          <ns5:jc ns5:val="center"/>
        </ns5:oMathParaPr>
        <ns5:oMath>
          <ns5:sSub>
            <ns5:e>
              <ns5:r>
                <ns5:t>Y</ns5:t>
              </ns5:r>
            </ns5:e>
            <ns5:sub>
              <ns5:r>
                <ns5:t>i</ns5:t>
              </ns5:r>
            </ns5:sub>
          </ns5:sSub>
          <ns5:r>
            <ns5:rPr>
              <ns5:sty ns5:val="p"/>
            </ns5:rPr>
            <ns5:t>=</ns5:t>
          </ns5:r>
          <ns5:sSub>
            <ns5:e>
              <ns5:r>
                <ns5:t>β</ns5:t>
              </ns5:r>
            </ns5:e>
            <ns5:sub>
              <ns5:r>
                <ns5:t>0</ns5:t>
              </ns5:r>
            </ns5:sub>
          </ns5:sSub>
          <ns5:r>
            <ns5:rPr>
              <ns5:sty ns5:val="p"/>
            </ns5:rPr>
            <ns5:t>+</ns5:t>
          </ns5:r>
          <ns5:sSub>
            <ns5:e>
              <ns5:r>
                <ns5:t>β</ns5:t>
              </ns5:r>
            </ns5:e>
            <ns5:sub>
              <ns5:r>
                <ns5:t>1</ns5:t>
              </ns5:r>
            </ns5:sub>
          </ns5:sSub>
          <ns5:sSub>
            <ns5:e>
              <ns5:r>
                <ns5:t>X</ns5:t>
              </ns5:r>
            </ns5:e>
            <ns5:sub>
              <ns5:r>
                <ns5:t>i</ns5:t>
              </ns5:r>
            </ns5:sub>
          </ns5:sSub>
          <ns5:r>
            <ns5:rPr>
              <ns5:sty ns5:val="p"/>
            </ns5:rPr>
            <ns5:t>+</ns5:t>
          </ns5:r>
          <ns5:sSub>
            <ns5:e>
              <ns5:r>
                <ns5:t>ε</ns5:t>
              </ns5:r>
            </ns5:e>
            <ns5:sub>
              <ns5:r>
                <ns5:t>i</ns5:t>
              </ns5:r>
            </ns5:sub>
          </ns5:sSub>
          <ns5:r>
            <ns5:rPr>
              <ns5:sty ns5:val="p"/>
            </ns5:rPr>
            <ns5:t>,</ns5:t>
          </ns5:r>
        </ns5:oMath>
      </ns5:oMathPara>
    </w:p>
    <w:p>
      <w:pPr>
        <w:pStyle w:val="FirstParagraph"/>
      </w:pPr>
      <w:r>
        <w:t xml:space="preserve">ndërsa vija e përshtatur e kampionit është</w:t>
      </w:r>
    </w:p>
    <w:p>
      <w:pPr>
        <w:pStyle w:val="BodyText"/>
      </w:pPr>
      <ns5:oMathPara>
        <ns5:oMathParaPr>
          <ns5:jc ns5:val="center"/>
        </ns5:oMathParaPr>
        <ns5:oMath>
          <ns5:sSub>
            <ns5:e>
              <ns5:acc>
                <ns5:accPr>
                  <ns5:chr ns5:val="̂"/>
                </ns5:accPr>
                <ns5:e>
                  <ns5:r>
                    <ns5:t>Y</ns5:t>
                  </ns5:r>
                </ns5:e>
              </ns5:acc>
            </ns5:e>
            <ns5:sub>
              <ns5:r>
                <ns5:t>i</ns5:t>
              </ns5:r>
            </ns5:sub>
          </ns5:sSub>
          <ns5:r>
            <ns5:rPr>
              <ns5:sty ns5:val="p"/>
            </ns5:rPr>
            <ns5:t>=</ns5:t>
          </ns5:r>
          <ns5:sSub>
            <ns5:e>
              <ns5:r>
                <ns5:t>b</ns5:t>
              </ns5:r>
            </ns5:e>
            <ns5:sub>
              <ns5:r>
                <ns5:t>0</ns5:t>
              </ns5:r>
            </ns5:sub>
          </ns5:sSub>
          <ns5:r>
            <ns5:rPr>
              <ns5:sty ns5:val="p"/>
            </ns5:rPr>
            <ns5:t>+</ns5:t>
          </ns5:r>
          <ns5:sSub>
            <ns5:e>
              <ns5:r>
                <ns5:t>b</ns5:t>
              </ns5:r>
            </ns5:e>
            <ns5:sub>
              <ns5:r>
                <ns5:t>1</ns5:t>
              </ns5:r>
            </ns5:sub>
          </ns5:sSub>
          <ns5:sSub>
            <ns5:e>
              <ns5:r>
                <ns5:t>X</ns5:t>
              </ns5:r>
            </ns5:e>
            <ns5:sub>
              <ns5:r>
                <ns5:t>i</ns5:t>
              </ns5:r>
            </ns5:sub>
          </ns5:sSub>
          <ns5:r>
            <ns5:rPr>
              <ns5:sty ns5:val="p"/>
            </ns5:rPr>
            <ns5:t>.</ns5:t>
          </ns5:r>
        </ns5:oMath>
      </ns5:oMathPara>
    </w:p>
    <w:bookmarkStart w:id="23" w:name="tbl-summary-regression-quantities"/>
    <w:p>
      <w:pPr>
        <w:pStyle w:val="TableCaption"/>
        <w:keepNext/>
        <w:keepLines/>
        <w:widowControl/>
        <w:spacing w:before="120" w:after="80"/>
        <w:jc w:val="left"/>
      </w:pPr>
      <w:r>
        <w:t xml:space="preserve">Tabela 1: Çdo madhësi e regresionit i përgjigjet një pjese të ndryshme të pyetjes për modelin e përshtatur.</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333"/>
        <w:gridCol w:w="6191"/>
      </w:tblGrid>
      <w:tr>
        <w:trPr>
          <w:cantSplit/>
          <w:tblHeader w:val="on"/>
        </w:trPr>
        <w:tc>
          <w:tcPr>
            <w:tcW w:w="3333" w:type="dxa"/>
            <w:shd w:fill="EAF2F6"/>
            <w:vAlign w:val="center"/>
          </w:tcPr>
          <w:p>
            <w:pPr>
              <w:pStyle w:val="Compact"/>
              <w:keepLines/>
              <w:widowControl/>
              <w:spacing w:before="0" w:after="40" w:line="240" w:lineRule="auto"/>
              <w:jc w:val="left"/>
            </w:pPr>
            <w:r>
              <w:rPr>
                <w:b/>
                <w:color w:val="183B56"/>
                <w:sz w:val="20"/>
                <w:szCs w:val="20"/>
              </w:rPr>
              <w:t xml:space="preserve">Madhësia</w:t>
            </w:r>
          </w:p>
        </w:tc>
        <w:tc>
          <w:tcPr>
            <w:tcW w:w="6191" w:type="dxa"/>
            <w:shd w:fill="EAF2F6"/>
            <w:vAlign w:val="center"/>
          </w:tcPr>
          <w:p>
            <w:pPr>
              <w:pStyle w:val="Compact"/>
              <w:keepLines/>
              <w:widowControl/>
              <w:spacing w:before="0" w:after="40" w:line="240" w:lineRule="auto"/>
              <w:jc w:val="left"/>
            </w:pPr>
            <w:r>
              <w:rPr>
                <w:b/>
                <w:color w:val="183B56"/>
                <w:sz w:val="20"/>
                <w:szCs w:val="20"/>
              </w:rPr>
              <w:t xml:space="preserve">Kuptimi</w:t>
            </w:r>
          </w:p>
        </w:tc>
      </w:tr>
      <w:tr>
        <w:trPr>
          <w:cantSplit/>
        </w:trPr>
        <w:tc>
          <w:tcPr>
            <w:tcW w:w="3333" w:type="dxa"/>
            <w:shd w:fill="F3F7F9"/>
            <w:vAlign w:val="top"/>
          </w:tcPr>
          <w:p>
            <w:pPr>
              <w:pStyle w:val="Compact"/>
              <w:keepLines/>
              <w:widowControl/>
              <w:spacing w:before="0" w:after="40" w:line="240" w:lineRule="auto"/>
              <w:jc w:val="center"/>
            </w:pPr>
            <ns5:oMath>
              <ns5:sSub>
                <ns5:e>
                  <ns5:r>
                    <ns5:t>b</ns5:t>
                  </ns5:r>
                </ns5:e>
                <ns5:sub>
                  <ns5:r>
                    <ns5:t>0</ns5:t>
                  </ns5:r>
                </ns5:sub>
              </ns5:sSub>
            </ns5:oMath>
          </w:p>
        </w:tc>
        <w:tc>
          <w:tcPr>
            <w:tcW w:w="6191" w:type="dxa"/>
            <w:shd w:fill="F3F7F9"/>
            <w:vAlign w:val="top"/>
          </w:tcPr>
          <w:p>
            <w:pPr>
              <w:pStyle w:val="Compact"/>
              <w:keepLines/>
              <w:widowControl/>
              <w:spacing w:before="0" w:after="40" w:line="240" w:lineRule="auto"/>
              <w:jc w:val="center"/>
            </w:pPr>
            <w:r>
              <w:rPr>
                <w:sz w:val="20"/>
                <w:szCs w:val="20"/>
              </w:rPr>
              <w:t xml:space="preserve">Rezultati mesatar i përshtatur kur</w:t>
            </w:r>
            <w:r>
              <w:rPr>
                <w:sz w:val="20"/>
                <w:szCs w:val="20"/>
              </w:rPr>
              <w:t xml:space="preserve"> </w:t>
            </w:r>
            <ns5:oMath>
              <ns5:r>
                <ns5:t>X</ns5:t>
              </ns5:r>
              <ns5:r>
                <ns5:rPr>
                  <ns5:sty ns5:val="p"/>
                </ns5:rPr>
                <ns5:t>=</ns5:t>
              </ns5:r>
              <ns5:r>
                <ns5:t>0</ns5:t>
              </ns5:r>
            </ns5:oMath>
            <w:r>
              <w:rPr>
                <w:sz w:val="20"/>
                <w:szCs w:val="20"/>
              </w:rPr>
              <w:t xml:space="preserve">; interpretoje vetëm kur zeroja ka kuptim dhe mbështetet nga të dhënat</w:t>
            </w:r>
          </w:p>
        </w:tc>
      </w:tr>
      <w:tr>
        <w:trPr>
          <w:cantSplit/>
        </w:trPr>
        <w:tc>
          <w:tcPr>
            <w:tcW w:w="3333" w:type="dxa"/>
            <w:shd w:fill="FFFFFF"/>
            <w:vAlign w:val="top"/>
          </w:tcPr>
          <w:p>
            <w:pPr>
              <w:pStyle w:val="Compact"/>
              <w:keepLines/>
              <w:widowControl/>
              <w:spacing w:before="0" w:after="40" w:line="240" w:lineRule="auto"/>
              <w:jc w:val="center"/>
            </w:pPr>
            <ns5:oMath>
              <ns5:sSub>
                <ns5:e>
                  <ns5:r>
                    <ns5:t>b</ns5:t>
                  </ns5:r>
                </ns5:e>
                <ns5:sub>
                  <ns5:r>
                    <ns5:t>1</ns5:t>
                  </ns5:r>
                </ns5:sub>
              </ns5:sSub>
            </ns5:oMath>
          </w:p>
        </w:tc>
        <w:tc>
          <w:tcPr>
            <w:tcW w:w="6191" w:type="dxa"/>
            <w:shd w:fill="FFFFFF"/>
            <w:vAlign w:val="top"/>
          </w:tcPr>
          <w:p>
            <w:pPr>
              <w:pStyle w:val="Compact"/>
              <w:keepLines/>
              <w:widowControl/>
              <w:spacing w:before="0" w:after="40" w:line="240" w:lineRule="auto"/>
              <w:jc w:val="center"/>
            </w:pPr>
            <w:r>
              <w:rPr>
                <w:sz w:val="20"/>
                <w:szCs w:val="20"/>
              </w:rPr>
              <w:t xml:space="preserve">Ndryshimi i përshtatur në rezultatin mesatar për rritje prej një njësie në</w:t>
            </w:r>
            <w:r>
              <w:rPr>
                <w:sz w:val="20"/>
                <w:szCs w:val="20"/>
              </w:rPr>
              <w:t xml:space="preserve"> </w:t>
            </w:r>
            <ns5:oMath>
              <ns5:r>
                <ns5:t>X</ns5:t>
              </ns5:r>
            </ns5:oMath>
          </w:p>
        </w:tc>
      </w:tr>
      <w:tr>
        <w:trPr>
          <w:cantSplit/>
        </w:trPr>
        <w:tc>
          <w:tcPr>
            <w:tcW w:w="3333" w:type="dxa"/>
            <w:shd w:fill="F3F7F9"/>
            <w:vAlign w:val="top"/>
          </w:tcPr>
          <w:p>
            <w:pPr>
              <w:pStyle w:val="Compact"/>
              <w:keepLines/>
              <w:widowControl/>
              <w:spacing w:before="0" w:after="40" w:line="240" w:lineRule="auto"/>
              <w:jc w:val="center"/>
            </w:pPr>
            <ns5:oMath>
              <ns5:sSub>
                <ns5:e>
                  <ns5:acc>
                    <ns5:accPr>
                      <ns5:chr ns5:val="̂"/>
                    </ns5:accPr>
                    <ns5:e>
                      <ns5:r>
                        <ns5:t>Y</ns5:t>
                      </ns5:r>
                    </ns5:e>
                  </ns5:acc>
                </ns5:e>
                <ns5:sub>
                  <ns5:r>
                    <ns5:t>i</ns5:t>
                  </ns5:r>
                </ns5:sub>
              </ns5:sSub>
            </ns5:oMath>
          </w:p>
        </w:tc>
        <w:tc>
          <w:tcPr>
            <w:tcW w:w="6191" w:type="dxa"/>
            <w:shd w:fill="F3F7F9"/>
            <w:vAlign w:val="top"/>
          </w:tcPr>
          <w:p>
            <w:pPr>
              <w:pStyle w:val="Compact"/>
              <w:keepLines/>
              <w:widowControl/>
              <w:spacing w:before="0" w:after="40" w:line="240" w:lineRule="auto"/>
              <w:jc w:val="center"/>
            </w:pPr>
            <w:r>
              <w:rPr>
                <w:sz w:val="20"/>
                <w:szCs w:val="20"/>
              </w:rPr>
              <w:t xml:space="preserve">Rezultati mesatar i përshtatur në vlerën e parashikuesit për rastin</w:t>
            </w:r>
            <w:r>
              <w:rPr>
                <w:sz w:val="20"/>
                <w:szCs w:val="20"/>
              </w:rPr>
              <w:t xml:space="preserve"> </w:t>
            </w:r>
            <ns5:oMath>
              <ns5:r>
                <ns5:t>i</ns5:t>
              </ns5:r>
            </ns5:oMath>
          </w:p>
        </w:tc>
      </w:tr>
      <w:tr>
        <w:trPr>
          <w:cantSplit/>
        </w:trPr>
        <w:tc>
          <w:tcPr>
            <w:tcW w:w="3333" w:type="dxa"/>
            <w:shd w:fill="FFFFFF"/>
            <w:vAlign w:val="top"/>
          </w:tcPr>
          <w:p>
            <w:pPr>
              <w:pStyle w:val="Compact"/>
              <w:keepLines/>
              <w:widowControl/>
              <w:spacing w:before="0" w:after="40" w:line="240" w:lineRule="auto"/>
              <w:jc w:val="center"/>
            </w:pPr>
            <ns5:oMath>
              <ns5:sSub>
                <ns5:e>
                  <ns5:r>
                    <ns5:t>e</ns5:t>
                  </ns5:r>
                </ns5:e>
                <ns5:sub>
                  <ns5:r>
                    <ns5:t>i</ns5:t>
                  </ns5:r>
                </ns5:sub>
              </ns5:sSub>
              <ns5:r>
                <ns5:rPr>
                  <ns5:sty ns5:val="p"/>
                </ns5:rPr>
                <ns5:t>=</ns5:t>
              </ns5:r>
              <ns5:sSub>
                <ns5:e>
                  <ns5:r>
                    <ns5:t>Y</ns5:t>
                  </ns5:r>
                </ns5:e>
                <ns5:sub>
                  <ns5:r>
                    <ns5:t>i</ns5:t>
                  </ns5:r>
                </ns5:sub>
              </ns5:sSub>
              <ns5:r>
                <ns5:rPr>
                  <ns5:sty ns5:val="p"/>
                </ns5:rPr>
                <ns5:t>−</ns5:t>
              </ns5:r>
              <ns5:sSub>
                <ns5:e>
                  <ns5:acc>
                    <ns5:accPr>
                      <ns5:chr ns5:val="̂"/>
                    </ns5:accPr>
                    <ns5:e>
                      <ns5:r>
                        <ns5:t>Y</ns5:t>
                      </ns5:r>
                    </ns5:e>
                  </ns5:acc>
                </ns5:e>
                <ns5:sub>
                  <ns5:r>
                    <ns5:t>i</ns5:t>
                  </ns5:r>
                </ns5:sub>
              </ns5:sSub>
            </ns5:oMath>
          </w:p>
        </w:tc>
        <w:tc>
          <w:tcPr>
            <w:tcW w:w="6191" w:type="dxa"/>
            <w:shd w:fill="FFFFFF"/>
            <w:vAlign w:val="top"/>
          </w:tcPr>
          <w:p>
            <w:pPr>
              <w:pStyle w:val="Compact"/>
              <w:keepLines/>
              <w:widowControl/>
              <w:spacing w:before="0" w:after="40" w:line="240" w:lineRule="auto"/>
              <w:jc w:val="center"/>
            </w:pPr>
            <w:r>
              <w:rPr>
                <w:sz w:val="20"/>
                <w:szCs w:val="20"/>
              </w:rPr>
              <w:t xml:space="preserve">Reziduali vertikal; vlera pozitive do të thotë se rezultati i vrojtuar gjendet mbi vijën</w:t>
            </w:r>
          </w:p>
        </w:tc>
      </w:tr>
      <w:tr>
        <w:trPr>
          <w:cantSplit/>
        </w:trPr>
        <w:tc>
          <w:tcPr>
            <w:tcW w:w="3333" w:type="dxa"/>
            <w:shd w:fill="F3F7F9"/>
            <w:vAlign w:val="top"/>
          </w:tcPr>
          <w:p>
            <w:pPr>
              <w:pStyle w:val="Compact"/>
              <w:keepLines/>
              <w:widowControl/>
              <w:spacing w:before="0" w:after="40" w:line="240" w:lineRule="auto"/>
              <w:jc w:val="center"/>
            </w:pPr>
            <ns5:oMath>
              <ns5:sSup>
                <ns5:e>
                  <ns5:r>
                    <ns5:t>R</ns5:t>
                  </ns5:r>
                </ns5:e>
                <ns5:sup>
                  <ns5:r>
                    <ns5:t>2</ns5:t>
                  </ns5:r>
                </ns5:sup>
              </ns5:sSup>
            </ns5:oMath>
          </w:p>
        </w:tc>
        <w:tc>
          <w:tcPr>
            <w:tcW w:w="6191" w:type="dxa"/>
            <w:shd w:fill="F3F7F9"/>
            <w:vAlign w:val="top"/>
          </w:tcPr>
          <w:p>
            <w:pPr>
              <w:pStyle w:val="Compact"/>
              <w:keepLines/>
              <w:widowControl/>
              <w:spacing w:before="0" w:after="40" w:line="240" w:lineRule="auto"/>
              <w:jc w:val="center"/>
            </w:pPr>
            <w:r>
              <w:rPr>
                <w:sz w:val="20"/>
                <w:szCs w:val="20"/>
              </w:rPr>
              <w:t xml:space="preserve">Përqindja e ndryshueshmërisë së rezultatit në kampion që përfaqësohet nga vija e përshtatur</w:t>
            </w:r>
          </w:p>
        </w:tc>
      </w:tr>
      <w:tr>
        <w:trPr>
          <w:cantSplit/>
        </w:trPr>
        <w:tc>
          <w:tcPr>
            <w:tcW w:w="3333" w:type="dxa"/>
            <w:shd w:fill="FFFFFF"/>
            <w:vAlign w:val="top"/>
          </w:tcPr>
          <w:p>
            <w:pPr>
              <w:pStyle w:val="Compact"/>
              <w:keepLines/>
              <w:widowControl/>
              <w:spacing w:before="0" w:after="40" w:line="240" w:lineRule="auto"/>
              <w:jc w:val="center"/>
            </w:pPr>
            <w:r>
              <w:rPr>
                <w:sz w:val="20"/>
                <w:szCs w:val="20"/>
              </w:rPr>
              <w:t xml:space="preserve">Gabimi standard i rezidualeve</w:t>
            </w:r>
          </w:p>
        </w:tc>
        <w:tc>
          <w:tcPr>
            <w:tcW w:w="6191" w:type="dxa"/>
            <w:shd w:fill="FFFFFF"/>
            <w:vAlign w:val="top"/>
          </w:tcPr>
          <w:p>
            <w:pPr>
              <w:pStyle w:val="Compact"/>
              <w:keepLines/>
              <w:widowControl/>
              <w:spacing w:before="0" w:after="40" w:line="240" w:lineRule="auto"/>
              <w:jc w:val="center"/>
            </w:pPr>
            <w:r>
              <w:rPr>
                <w:sz w:val="20"/>
                <w:szCs w:val="20"/>
              </w:rPr>
              <w:t xml:space="preserve">Ndryshueshmëria tipike e rezultatit që mbetet rreth vijës së përshtatur, në njësitë e rezultatit</w:t>
            </w:r>
          </w:p>
        </w:tc>
      </w:tr>
    </w:tbl>
    <w:bookmarkEnd w:id="23"/>
    <w:p/>
    <w:p>
      <w:pPr>
        <w:pStyle w:val="BodyText"/>
      </w:pPr>
      <w:r>
        <w:t xml:space="preserve">Pjerrësia lidhet drejtpërdrejt me Temën 4:</w:t>
      </w:r>
    </w:p>
    <w:p>
      <w:pPr>
        <w:pStyle w:val="BodyText"/>
      </w:pPr>
      <ns5:oMathPara>
        <ns5:oMathParaPr>
          <ns5:jc ns5:val="center"/>
        </ns5:oMathParaPr>
        <ns5:oMath>
          <ns5:sSub>
            <ns5:e>
              <ns5:r>
                <ns5:t>b</ns5:t>
              </ns5:r>
            </ns5:e>
            <ns5:sub>
              <ns5:r>
                <ns5:t>1</ns5:t>
              </ns5:r>
            </ns5:sub>
          </ns5:sSub>
          <ns5:r>
            <ns5:rPr>
              <ns5:sty ns5:val="p"/>
            </ns5:rPr>
            <ns5:t>=</ns5:t>
          </ns5:r>
          <ns5:f>
            <ns5:fPr>
              <ns5:type ns5:val="bar"/>
            </ns5:fPr>
            <ns5:num>
              <ns5:sSub>
                <ns5:e>
                  <ns5:r>
                    <ns5:t>s</ns5:t>
                  </ns5:r>
                </ns5:e>
                <ns5:sub>
                  <ns5:r>
                    <ns5:t>X</ns5:t>
                  </ns5:r>
                  <ns5:r>
                    <ns5:t>Y</ns5:t>
                  </ns5:r>
                </ns5:sub>
              </ns5:sSub>
            </ns5:num>
            <ns5:den>
              <ns5:sSubSup>
                <ns5:e>
                  <ns5:r>
                    <ns5:t>s</ns5:t>
                  </ns5:r>
                </ns5:e>
                <ns5:sub>
                  <ns5:r>
                    <ns5:t>X</ns5:t>
                  </ns5:r>
                </ns5:sub>
                <ns5:sup>
                  <ns5:r>
                    <ns5:t>2</ns5:t>
                  </ns5:r>
                </ns5:sup>
              </ns5:sSubSup>
            </ns5:den>
          </ns5:f>
          <ns5:r>
            <ns5:rPr>
              <ns5:sty ns5:val="p"/>
            </ns5:rPr>
            <ns5:t>=</ns5:t>
          </ns5:r>
          <ns5:sSub>
            <ns5:e>
              <ns5:r>
                <ns5:t>r</ns5:t>
              </ns5:r>
            </ns5:e>
            <ns5:sub>
              <ns5:r>
                <ns5:t>X</ns5:t>
              </ns5:r>
              <ns5:r>
                <ns5:t>Y</ns5:t>
              </ns5:r>
            </ns5:sub>
          </ns5:sSub>
          <ns5:f>
            <ns5:fPr>
              <ns5:type ns5:val="bar"/>
            </ns5:fPr>
            <ns5:num>
              <ns5:sSub>
                <ns5:e>
                  <ns5:r>
                    <ns5:t>s</ns5:t>
                  </ns5:r>
                </ns5:e>
                <ns5:sub>
                  <ns5:r>
                    <ns5:t>Y</ns5:t>
                  </ns5:r>
                </ns5:sub>
              </ns5:sSub>
            </ns5:num>
            <ns5:den>
              <ns5:sSub>
                <ns5:e>
                  <ns5:r>
                    <ns5:t>s</ns5:t>
                  </ns5:r>
                </ns5:e>
                <ns5:sub>
                  <ns5:r>
                    <ns5:t>X</ns5:t>
                  </ns5:r>
                </ns5:sub>
              </ns5:sSub>
            </ns5:den>
          </ns5:f>
          <ns5:r>
            <ns5:rPr>
              <ns5:sty ns5:val="p"/>
            </ns5:rPr>
            <ns5:t>.</ns5:t>
          </ns5:r>
        </ns5:oMath>
      </ns5:oMathPara>
    </w:p>
    <w:p>
      <w:pPr>
        <w:pStyle w:val="FirstParagraph"/>
      </w:pPr>
      <w:r>
        <w:t xml:space="preserve">Kovarianca jep lëvizjen e përbashkët, pjesëtimi me variancën e parashikuesit e shndërron atë në njësi rezultati për njësi parashikuesi, ndërsa forma e korrelacionit tregon si rikthehet lidhja pa njësi në shkallët fillestare. Në regresionin e thjeshtë me prerje,</w:t>
      </w:r>
      <w:r>
        <w:t xml:space="preserve"> </w:t>
      </w:r>
      <ns5:oMath>
        <ns5:sSup>
          <ns5:e>
            <ns5:r>
              <ns5:t>R</ns5:t>
            </ns5:r>
          </ns5:e>
          <ns5:sup>
            <ns5:r>
              <ns5:t>2</ns5:t>
            </ns5:r>
          </ns5:sup>
        </ns5:sSup>
        <ns5:r>
          <ns5:rPr>
            <ns5:sty ns5:val="p"/>
          </ns5:rPr>
          <ns5:t>=</ns5:t>
        </ns5:r>
        <ns5:sSup>
          <ns5:e>
            <ns5:r>
              <ns5:t>r</ns5:t>
            </ns5:r>
          </ns5:e>
          <ns5:sup>
            <ns5:r>
              <ns5:t>2</ns5:t>
            </ns5:r>
          </ns5:sup>
        </ns5:sSup>
      </ns5:oMath>
      <w:r>
        <w:t xml:space="preserve">.</w:t>
      </w:r>
    </w:p>
    <w:bookmarkEnd w:id="24"/>
    <w:bookmarkStart w:id="25" w:name="inferenca-dhe-diagnostikimi"/>
    <w:p>
      <w:pPr>
        <w:pStyle w:val="Heading2"/>
      </w:pPr>
      <w:r>
        <w:t xml:space="preserve">Inferenca dhe diagnostikimi</w:t>
      </w:r>
    </w:p>
    <w:p>
      <w:pPr>
        <w:pStyle w:val="FirstParagraph"/>
      </w:pPr>
      <w:r>
        <w:t xml:space="preserve">Intervali i besimit dhe testi për pjerrësinë përdorin</w:t>
      </w:r>
    </w:p>
    <w:p>
      <w:pPr>
        <w:pStyle w:val="BodyText"/>
      </w:pPr>
      <ns5:oMathPara>
        <ns5:oMathParaPr>
          <ns5:jc ns5:val="center"/>
        </ns5:oMathParaPr>
        <ns5:oMath>
          <ns5:r>
            <ns5:t>t</ns5:t>
          </ns5:r>
          <ns5:r>
            <ns5:rPr>
              <ns5:sty ns5:val="p"/>
            </ns5:rPr>
            <ns5:t>=</ns5:t>
          </ns5:r>
          <ns5:f>
            <ns5:fPr>
              <ns5:type ns5:val="bar"/>
            </ns5:fPr>
            <ns5:num>
              <ns5:sSub>
                <ns5:e>
                  <ns5:r>
                    <ns5:t>b</ns5:t>
                  </ns5:r>
                </ns5:e>
                <ns5:sub>
                  <ns5:r>
                    <ns5:t>1</ns5:t>
                  </ns5:r>
                </ns5:sub>
              </ns5:sSub>
              <ns5:r>
                <ns5:rPr>
                  <ns5:sty ns5:val="p"/>
                </ns5:rPr>
                <ns5:t>−</ns5:t>
              </ns5:r>
              <ns5:r>
                <ns5:t>0</ns5:t>
              </ns5:r>
            </ns5:num>
            <ns5:den>
              <ns5:r>
                <ns5:t>S</ns5:t>
              </ns5:r>
              <ns5:r>
                <ns5:t>E</ns5:t>
              </ns5:r>
              <ns5:d>
                <ns5:dPr>
                  <ns5:begChr ns5:val="("/>
                  <ns5:sepChr ns5:val=""/>
                  <ns5:endChr ns5:val=")"/>
                  <ns5:grow/>
                </ns5:dPr>
                <ns5:e>
                  <ns5:sSub>
                    <ns5:e>
                      <ns5:r>
                        <ns5:t>b</ns5:t>
                      </ns5:r>
                    </ns5:e>
                    <ns5:sub>
                      <ns5:r>
                        <ns5:t>1</ns5:t>
                      </ns5:r>
                    </ns5:sub>
                  </ns5:sSub>
                </ns5:e>
              </ns5:d>
            </ns5:den>
          </ns5:f>
          <ns5:r>
            <ns5:rPr>
              <ns5:sty ns5:val="p"/>
            </ns5:rPr>
            <ns5:t>,</ns5:t>
          </ns5:r>
          <ns5:r>
            <ns5:t>  </ns5:t>
          </ns5:r>
          <ns5:r>
            <ns5:t>d</ns5:t>
          </ns5:r>
          <ns5:r>
            <ns5:t>f</ns5:t>
          </ns5:r>
          <ns5:r>
            <ns5:rPr>
              <ns5:sty ns5:val="p"/>
            </ns5:rPr>
            <ns5:t>=</ns5:t>
          </ns5:r>
          <ns5:r>
            <ns5:t>n</ns5:t>
          </ns5:r>
          <ns5:r>
            <ns5:rPr>
              <ns5:sty ns5:val="p"/>
            </ns5:rPr>
            <ns5:t>−</ns5:t>
          </ns5:r>
          <ns5:r>
            <ns5:t>2</ns5:t>
          </ns5:r>
          <ns5:r>
            <ns5:rPr>
              <ns5:sty ns5:val="p"/>
            </ns5:rPr>
            <ns5:t>.</ns5:t>
          </ns5:r>
        </ns5:oMath>
      </ns5:oMathPara>
    </w:p>
    <w:p>
      <w:pPr>
        <w:pStyle w:val="FirstParagraph"/>
      </w:pPr>
      <w:r>
        <w:t xml:space="preserve">Para se t’i besosh këtij përfundimi inferencial, kontrollo nëse një vijë e drejtë është përmbledhje e përshtatshme, nëse shpërndarja e rezidualeve është afërsisht e qëndrueshme, nëse shpërndarja e gabimeve përputhet me modelin dhe nëse rastet janë të pavarura sipas dizajnit. Diagrami i rezidualeve kundrejt vlerave të përshtatura kontrollon formën dhe shpërndarjen. Diagrami normal Q-Q kontrollon trajtën e përgjithshme të gabimeve. Vlera leverage dhe distanca e Cook-ut i dallojnë rastet që duhen shqyrtuar, jo rastet që duhen fshirë automatikisht.</w:t>
      </w:r>
    </w:p>
    <w:bookmarkEnd w:id="25"/>
    <w:bookmarkStart w:id="26" w:name="shtrirja-e-përfundimit"/>
    <w:p>
      <w:pPr>
        <w:pStyle w:val="Heading2"/>
      </w:pPr>
      <w:r>
        <w:t xml:space="preserve">Shtrirja e përfundimit</w:t>
      </w:r>
    </w:p>
    <w:p>
      <w:pPr>
        <w:pStyle w:val="Compact"/>
        <w:numPr>
          <w:ilvl w:val="0"/>
          <w:numId w:val="1001"/>
        </w:numPr>
      </w:pPr>
      <w:r>
        <w:t xml:space="preserve">Interpolimi qëndron brenda intervalit të mbështetur të parashikuesit; ekstrapolimi shkon përtej tij dhe kërkon supozime më të forta.</w:t>
      </w:r>
    </w:p>
    <w:p>
      <w:pPr>
        <w:pStyle w:val="Compact"/>
        <w:numPr>
          <w:ilvl w:val="0"/>
          <w:numId w:val="1001"/>
        </w:numPr>
      </w:pPr>
      <w:r>
        <w:t xml:space="preserve">Parashikimi për një individ kërkon më shumë pasiguri se intervali për rezultatin mesatar në të njëjtën vlerë të parashikuesit.</w:t>
      </w:r>
    </w:p>
    <w:p>
      <w:pPr>
        <w:pStyle w:val="Compact"/>
        <w:numPr>
          <w:ilvl w:val="0"/>
          <w:numId w:val="1001"/>
        </w:numPr>
      </w:pPr>
      <w:r>
        <w:t xml:space="preserve">Një vlerë e vogël p nuk provon shkakësi, matje të saktë apo parashikim të mirë në një popullatë të re.</w:t>
      </w:r>
    </w:p>
    <w:p>
      <w:pPr>
        <w:pStyle w:val="Compact"/>
        <w:numPr>
          <w:ilvl w:val="0"/>
          <w:numId w:val="1001"/>
        </w:numPr>
      </w:pPr>
      <w:r>
        <w:t xml:space="preserve">Një</w:t>
      </w:r>
      <w:r>
        <w:t xml:space="preserve"> </w:t>
      </w:r>
      <ns5:oMath>
        <ns5:sSup>
          <ns5:e>
            <ns5:r>
              <ns5:t>R</ns5:t>
            </ns5:r>
          </ns5:e>
          <ns5:sup>
            <ns5:r>
              <ns5:t>2</ns5:t>
            </ns5:r>
          </ns5:sup>
        </ns5:sSup>
      </ns5:oMath>
      <w:r>
        <w:t xml:space="preserve"> </w:t>
      </w:r>
      <w:r>
        <w:t xml:space="preserve">i madh nuk provon se modeli është përcaktuar saktë.</w:t>
      </w:r>
    </w:p>
    <w:p>
      <w:pPr>
        <w:pStyle w:val="FirstParagraph"/>
      </w:pPr>
      <w:r>
        <w:t xml:space="preserve">Tema 6 e përdor idenë e rezidualit dy herë: i përshtat të dyja ndryshoret kryesore për një ndryshore të tretë dhe korrelon pjesët që mbeten. Kjo e bën korrelacionin e pjesshëm hapin e natyrshëm pas vijës me një parashikues.</w:t>
      </w:r>
    </w:p>
    <w:bookmarkEnd w:id="26"/>
    <w:bookmarkEnd w:id="27"/>
    <w:bookmarkStart w:id="38" w:name="referencë-e-zgjeruar"/>
    <w:p>
      <w:pPr>
        <w:pStyle w:val="Heading1"/>
        <w:pageBreakBefore/>
      </w:pPr>
      <w:r>
        <w:t xml:space="preserve">Referencë e zgjeruar</w:t>
      </w:r>
    </w:p>
    <w:bookmarkStart w:id="28" w:name="qëllimi-dhe-bazat"/>
    <w:p>
      <w:pPr>
        <w:pStyle w:val="Heading2"/>
      </w:pPr>
      <w:r>
        <w:t xml:space="preserve">Qëllimi dhe bazat</w:t>
      </w:r>
    </w:p>
    <w:p>
      <w:pPr>
        <w:pStyle w:val="FirstParagraph"/>
      </w:pPr>
      <w:r>
        <w:t xml:space="preserve">Regresioni i thjeshtë linear përshkruan si ndryshon mesatarja e kushtëzuar e një ndryshoreje numerike të rezultatit nëpër vlerat e një ndryshoreje parashikuese.</w:t>
      </w:r>
      <w:r>
        <w:t xml:space="preserve"> </w:t>
      </w:r>
      <w:r>
        <w:rPr>
          <w:b/>
          <w:bCs/>
        </w:rPr>
        <w:t xml:space="preserve">Ndryshorja e rezultatit</w:t>
      </w:r>
      <w:r>
        <w:t xml:space="preserve">, e shënuar me</w:t>
      </w:r>
      <w:r>
        <w:t xml:space="preserve"> </w:t>
      </w:r>
      <ns5:oMath>
        <ns5:r>
          <ns5:t>Y</ns5:t>
        </ns5:r>
      </ns5:oMath>
      <w:r>
        <w:t xml:space="preserve">, është ndryshorja që modeli synon të shpjegojë ose parashikojë.</w:t>
      </w:r>
      <w:r>
        <w:t xml:space="preserve"> </w:t>
      </w:r>
      <w:r>
        <w:rPr>
          <w:b/>
          <w:bCs/>
        </w:rPr>
        <w:t xml:space="preserve">Ndryshorja parashikuese</w:t>
      </w:r>
      <w:r>
        <w:t xml:space="preserve">, e shënuar me</w:t>
      </w:r>
      <w:r>
        <w:t xml:space="preserve"> </w:t>
      </w:r>
      <ns5:oMath>
        <ns5:r>
          <ns5:t>X</ns5:t>
        </ns5:r>
      </ns5:oMath>
      <w:r>
        <w:t xml:space="preserve">, jep informacionin shpjegues. «I thjeshtë» do të thotë se modeli përmban një ndryshore parashikuese, ndërsa «linear» do të thotë se mesatarja e modeluar e</w:t>
      </w:r>
      <w:r>
        <w:t xml:space="preserve"> </w:t>
      </w:r>
      <ns5:oMath>
        <ns5:r>
          <ns5:t>Y</ns5:t>
        </ns5:r>
      </ns5:oMath>
      <w:r>
        <w:t xml:space="preserve"> </w:t>
      </w:r>
      <w:r>
        <w:t xml:space="preserve">ndryshon përgjatë një vije të drejtë kur ndryshon</w:t>
      </w:r>
      <w:r>
        <w:t xml:space="preserve"> </w:t>
      </w:r>
      <ns5:oMath>
        <ns5:r>
          <ns5:t>X</ns5:t>
        </ns5:r>
      </ns5:oMath>
      <w:r>
        <w:t xml:space="preserve">.</w:t>
      </w:r>
    </w:p>
    <w:p>
      <w:pPr>
        <w:pStyle w:val="BodyText"/>
      </w:pPr>
      <w:r>
        <w:t xml:space="preserve">Çdo rast i vrojtuar ka një vlerë parashikuese</w:t>
      </w:r>
      <w:r>
        <w:t xml:space="preserve"> </w:t>
      </w:r>
      <ns5:oMath>
        <ns5:sSub>
          <ns5:e>
            <ns5:r>
              <ns5:t>x</ns5:t>
            </ns5:r>
          </ns5:e>
          <ns5:sub>
            <ns5:r>
              <ns5:t>i</ns5:t>
            </ns5:r>
          </ns5:sub>
        </ns5:sSub>
      </ns5:oMath>
      <w:r>
        <w:t xml:space="preserve"> </w:t>
      </w:r>
      <w:r>
        <w:t xml:space="preserve">dhe një vlerë rezultati</w:t>
      </w:r>
      <w:r>
        <w:t xml:space="preserve"> </w:t>
      </w:r>
      <ns5:oMath>
        <ns5:sSub>
          <ns5:e>
            <ns5:r>
              <ns5:t>y</ns5:t>
            </ns5:r>
          </ns5:e>
          <ns5:sub>
            <ns5:r>
              <ns5:t>i</ns5:t>
            </ns5:r>
          </ns5:sub>
        </ns5:sSub>
      </ns5:oMath>
      <w:r>
        <w:t xml:space="preserve">. Modeli jep një vlerë të përshtatur</w:t>
      </w:r>
      <w:r>
        <w:t xml:space="preserve"> </w:t>
      </w:r>
      <ns5:oMath>
        <ns5:sSub>
          <ns5:e>
            <ns5:acc>
              <ns5:accPr>
                <ns5:chr ns5:val="̂"/>
              </ns5:accPr>
              <ns5:e>
                <ns5:r>
                  <ns5:t>y</ns5:t>
                </ns5:r>
              </ns5:e>
            </ns5:acc>
          </ns5:e>
          <ns5:sub>
            <ns5:r>
              <ns5:t>i</ns5:t>
            </ns5:r>
          </ns5:sub>
        </ns5:sSub>
      </ns5:oMath>
      <w:r>
        <w:t xml:space="preserve">, pra nivelin e rezultatit që parashikon vija e përshtatur te vlera parashikuese e atij rasti. Dallimi mes rezultatit të vrojtuar dhe atij të përshtatur është</w:t>
      </w:r>
      <w:r>
        <w:t xml:space="preserve"> </w:t>
      </w:r>
      <w:r>
        <w:rPr>
          <w:b/>
          <w:bCs/>
        </w:rPr>
        <w:t xml:space="preserve">reziduali</w:t>
      </w:r>
      <w:r>
        <w:t xml:space="preserve"> </w:t>
      </w:r>
      <ns5:oMath>
        <ns5:sSub>
          <ns5:e>
            <ns5:r>
              <ns5:t>e</ns5:t>
            </ns5:r>
          </ns5:e>
          <ns5:sub>
            <ns5:r>
              <ns5:t>i</ns5:t>
            </ns5:r>
          </ns5:sub>
        </ns5:sSub>
      </ns5:oMath>
      <w:r>
        <w:t xml:space="preserve">. Një rezidual pozitiv e vendos pikën mbi vijë; një rezidual negativ e vendos poshtë saj. Rezidualet e ruajnë njësinë e rezultatit dhe tregojnë pjesën e secilës vlerë të vrojtuar që vija e përshtatur nuk e riprodhoi.</w:t>
      </w:r>
    </w:p>
    <w:p>
      <w:pPr>
        <w:pStyle w:val="BodyText"/>
      </w:pPr>
      <w:r>
        <w:t xml:space="preserve">Regresioni lidhet ngushtë me kovariancën dhe korrelacionin, por rolet e tij janë të ndryshme. Korrelacioni i trajton dy ndryshoret në mënyrë simetrike dhe përmbledh lidhjen lineare të standardizuar. Regresioni u cakton role të dallueshme ndryshores parashikuese dhe asaj të rezultatit, ruan njësinë e rezultatit dhe jep një ekuacion për vlerat e përshtatura. Prandaj ndërrimi i</w:t>
      </w:r>
      <w:r>
        <w:t xml:space="preserve"> </w:t>
      </w:r>
      <ns5:oMath>
        <ns5:r>
          <ns5:t>X</ns5:t>
        </ns5:r>
      </ns5:oMath>
      <w:r>
        <w:t xml:space="preserve"> </w:t>
      </w:r>
      <w:r>
        <w:t xml:space="preserve">me</w:t>
      </w:r>
      <w:r>
        <w:t xml:space="preserve"> </w:t>
      </w:r>
      <ns5:oMath>
        <ns5:r>
          <ns5:t>Y</ns5:t>
        </ns5:r>
      </ns5:oMath>
      <w:r>
        <w:t xml:space="preserve"> </w:t>
      </w:r>
      <w:r>
        <w:t xml:space="preserve">prodhon një problem tjetër regresioni, edhe pse korrelacioni i tyre mbetet i njëjtë.</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3714"/>
        <w:gridCol w:w="2762"/>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Përbërësi</w:t>
            </w:r>
          </w:p>
        </w:tc>
        <w:tc>
          <w:tcPr>
            <w:tcW w:w="3714" w:type="dxa"/>
            <w:shd w:fill="EAF2F6"/>
            <w:vAlign w:val="center"/>
          </w:tcPr>
          <w:p>
            <w:pPr>
              <w:pStyle w:val="Compact"/>
              <w:keepLines/>
              <w:widowControl/>
              <w:spacing w:before="0" w:after="40" w:line="240" w:lineRule="auto"/>
              <w:jc w:val="left"/>
            </w:pPr>
            <w:r>
              <w:rPr>
                <w:b/>
                <w:color w:val="183B56"/>
                <w:sz w:val="20"/>
                <w:szCs w:val="20"/>
              </w:rPr>
              <w:t xml:space="preserve">Kuptimi</w:t>
            </w:r>
          </w:p>
        </w:tc>
        <w:tc>
          <w:tcPr>
            <w:tcW w:w="2762" w:type="dxa"/>
            <w:shd w:fill="EAF2F6"/>
            <w:vAlign w:val="center"/>
          </w:tcPr>
          <w:p>
            <w:pPr>
              <w:pStyle w:val="Compact"/>
              <w:keepLines/>
              <w:widowControl/>
              <w:spacing w:before="0" w:after="40" w:line="240" w:lineRule="auto"/>
              <w:jc w:val="left"/>
            </w:pPr>
            <w:r>
              <w:rPr>
                <w:b/>
                <w:color w:val="183B56"/>
                <w:sz w:val="20"/>
                <w:szCs w:val="20"/>
              </w:rPr>
              <w:t xml:space="preserve">Njësia</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Konstanta</w:t>
            </w:r>
            <w:r>
              <w:rPr>
                <w:sz w:val="20"/>
                <w:szCs w:val="20"/>
              </w:rPr>
              <w:t xml:space="preserve"> </w:t>
            </w:r>
            <ns5:oMath>
              <ns5:sSub>
                <ns5:e>
                  <ns5:r>
                    <ns5:t>b</ns5:t>
                  </ns5:r>
                </ns5:e>
                <ns5:sub>
                  <ns5:r>
                    <ns5:t>0</ns5:t>
                  </ns5:r>
                </ns5:sub>
              </ns5:sSub>
            </ns5:oMath>
          </w:p>
        </w:tc>
        <w:tc>
          <w:tcPr>
            <w:tcW w:w="3714" w:type="dxa"/>
            <w:shd w:fill="F3F7F9"/>
            <w:vAlign w:val="top"/>
          </w:tcPr>
          <w:p>
            <w:pPr>
              <w:pStyle w:val="Compact"/>
              <w:keepLines/>
              <w:widowControl/>
              <w:spacing w:before="0" w:after="40" w:line="240" w:lineRule="auto"/>
              <w:jc w:val="left"/>
            </w:pPr>
            <w:r>
              <w:rPr>
                <w:sz w:val="20"/>
                <w:szCs w:val="20"/>
              </w:rPr>
              <w:t xml:space="preserve">Rezultati mesatar i përshtatur kur</w:t>
            </w:r>
            <w:r>
              <w:rPr>
                <w:sz w:val="20"/>
                <w:szCs w:val="20"/>
              </w:rPr>
              <w:t xml:space="preserve"> </w:t>
            </w:r>
            <ns5:oMath>
              <ns5:r>
                <ns5:t>X</ns5:t>
              </ns5:r>
              <ns5:r>
                <ns5:rPr>
                  <ns5:sty ns5:val="p"/>
                </ns5:rPr>
                <ns5:t>=</ns5:t>
              </ns5:r>
              <ns5:r>
                <ns5:t>0</ns5:t>
              </ns5:r>
            </ns5:oMath>
          </w:p>
        </w:tc>
        <w:tc>
          <w:tcPr>
            <w:tcW w:w="2762" w:type="dxa"/>
            <w:shd w:fill="F3F7F9"/>
            <w:vAlign w:val="top"/>
          </w:tcPr>
          <w:p>
            <w:pPr>
              <w:pStyle w:val="Compact"/>
              <w:keepLines/>
              <w:widowControl/>
              <w:spacing w:before="0" w:after="40" w:line="240" w:lineRule="auto"/>
              <w:jc w:val="left"/>
            </w:pPr>
            <w:r>
              <w:rPr>
                <w:sz w:val="20"/>
                <w:szCs w:val="20"/>
              </w:rPr>
              <w:t xml:space="preserve">Njësi të rezultatit</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Pjerrësia</w:t>
            </w:r>
            <w:r>
              <w:rPr>
                <w:sz w:val="20"/>
                <w:szCs w:val="20"/>
              </w:rPr>
              <w:t xml:space="preserve"> </w:t>
            </w:r>
            <ns5:oMath>
              <ns5:sSub>
                <ns5:e>
                  <ns5:r>
                    <ns5:t>b</ns5:t>
                  </ns5:r>
                </ns5:e>
                <ns5:sub>
                  <ns5:r>
                    <ns5:t>1</ns5:t>
                  </ns5:r>
                </ns5:sub>
              </ns5:sSub>
            </ns5:oMath>
          </w:p>
        </w:tc>
        <w:tc>
          <w:tcPr>
            <w:tcW w:w="3714" w:type="dxa"/>
            <w:shd w:fill="FFFFFF"/>
            <w:vAlign w:val="top"/>
          </w:tcPr>
          <w:p>
            <w:pPr>
              <w:pStyle w:val="Compact"/>
              <w:keepLines/>
              <w:widowControl/>
              <w:spacing w:before="0" w:after="40" w:line="240" w:lineRule="auto"/>
              <w:jc w:val="left"/>
            </w:pPr>
            <w:r>
              <w:rPr>
                <w:sz w:val="20"/>
                <w:szCs w:val="20"/>
              </w:rPr>
              <w:t xml:space="preserve">Ndryshimi i përshtatur i rezultatit për një rritje prej një njësie në</w:t>
            </w:r>
            <w:r>
              <w:rPr>
                <w:sz w:val="20"/>
                <w:szCs w:val="20"/>
              </w:rPr>
              <w:t xml:space="preserve"> </w:t>
            </w:r>
            <ns5:oMath>
              <ns5:r>
                <ns5:t>X</ns5:t>
              </ns5:r>
            </ns5:oMath>
          </w:p>
        </w:tc>
        <w:tc>
          <w:tcPr>
            <w:tcW w:w="2762" w:type="dxa"/>
            <w:shd w:fill="FFFFFF"/>
            <w:vAlign w:val="top"/>
          </w:tcPr>
          <w:p>
            <w:pPr>
              <w:pStyle w:val="Compact"/>
              <w:keepLines/>
              <w:widowControl/>
              <w:spacing w:before="0" w:after="40" w:line="240" w:lineRule="auto"/>
              <w:jc w:val="left"/>
            </w:pPr>
            <w:r>
              <w:rPr>
                <w:sz w:val="20"/>
                <w:szCs w:val="20"/>
              </w:rPr>
              <w:t xml:space="preserve">Njësi rezultati për njësi parashikuese</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Vlera e përshtatur</w:t>
            </w:r>
            <w:r>
              <w:rPr>
                <w:sz w:val="20"/>
                <w:szCs w:val="20"/>
              </w:rPr>
              <w:t xml:space="preserve"> </w:t>
            </w:r>
            <ns5:oMath>
              <ns5:sSub>
                <ns5:e>
                  <ns5:acc>
                    <ns5:accPr>
                      <ns5:chr ns5:val="̂"/>
                    </ns5:accPr>
                    <ns5:e>
                      <ns5:r>
                        <ns5:t>y</ns5:t>
                      </ns5:r>
                    </ns5:e>
                  </ns5:acc>
                </ns5:e>
                <ns5:sub>
                  <ns5:r>
                    <ns5:t>i</ns5:t>
                  </ns5:r>
                </ns5:sub>
              </ns5:sSub>
            </ns5:oMath>
          </w:p>
        </w:tc>
        <w:tc>
          <w:tcPr>
            <w:tcW w:w="3714" w:type="dxa"/>
            <w:shd w:fill="F3F7F9"/>
            <w:vAlign w:val="top"/>
          </w:tcPr>
          <w:p>
            <w:pPr>
              <w:pStyle w:val="Compact"/>
              <w:keepLines/>
              <w:widowControl/>
              <w:spacing w:before="0" w:after="40" w:line="240" w:lineRule="auto"/>
              <w:jc w:val="left"/>
            </w:pPr>
            <w:r>
              <w:rPr>
                <w:sz w:val="20"/>
                <w:szCs w:val="20"/>
              </w:rPr>
              <w:t xml:space="preserve">Pika në vijën e përshtatur te</w:t>
            </w:r>
            <w:r>
              <w:rPr>
                <w:sz w:val="20"/>
                <w:szCs w:val="20"/>
              </w:rPr>
              <w:t xml:space="preserve"> </w:t>
            </w:r>
            <ns5:oMath>
              <ns5:sSub>
                <ns5:e>
                  <ns5:r>
                    <ns5:t>x</ns5:t>
                  </ns5:r>
                </ns5:e>
                <ns5:sub>
                  <ns5:r>
                    <ns5:t>i</ns5:t>
                  </ns5:r>
                </ns5:sub>
              </ns5:sSub>
            </ns5:oMath>
          </w:p>
        </w:tc>
        <w:tc>
          <w:tcPr>
            <w:tcW w:w="2762" w:type="dxa"/>
            <w:shd w:fill="F3F7F9"/>
            <w:vAlign w:val="top"/>
          </w:tcPr>
          <w:p>
            <w:pPr>
              <w:pStyle w:val="Compact"/>
              <w:keepLines/>
              <w:widowControl/>
              <w:spacing w:before="0" w:after="40" w:line="240" w:lineRule="auto"/>
              <w:jc w:val="left"/>
            </w:pPr>
            <w:r>
              <w:rPr>
                <w:sz w:val="20"/>
                <w:szCs w:val="20"/>
              </w:rPr>
              <w:t xml:space="preserve">Njësi të rezultatit</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Reziduali</w:t>
            </w:r>
            <w:r>
              <w:rPr>
                <w:sz w:val="20"/>
                <w:szCs w:val="20"/>
              </w:rPr>
              <w:t xml:space="preserve"> </w:t>
            </w:r>
            <ns5:oMath>
              <ns5:sSub>
                <ns5:e>
                  <ns5:r>
                    <ns5:t>e</ns5:t>
                  </ns5:r>
                </ns5:e>
                <ns5:sub>
                  <ns5:r>
                    <ns5:t>i</ns5:t>
                  </ns5:r>
                </ns5:sub>
              </ns5:sSub>
            </ns5:oMath>
          </w:p>
        </w:tc>
        <w:tc>
          <w:tcPr>
            <w:tcW w:w="3714" w:type="dxa"/>
            <w:shd w:fill="FFFFFF"/>
            <w:vAlign w:val="top"/>
          </w:tcPr>
          <w:p>
            <w:pPr>
              <w:pStyle w:val="Compact"/>
              <w:keepLines/>
              <w:widowControl/>
              <w:spacing w:before="0" w:after="40" w:line="240" w:lineRule="auto"/>
              <w:jc w:val="left"/>
            </w:pPr>
            <w:r>
              <w:rPr>
                <w:sz w:val="20"/>
                <w:szCs w:val="20"/>
              </w:rPr>
              <w:t xml:space="preserve">Rezultati i vrojtuar minus rezultatin e përshtatur</w:t>
            </w:r>
          </w:p>
        </w:tc>
        <w:tc>
          <w:tcPr>
            <w:tcW w:w="2762" w:type="dxa"/>
            <w:shd w:fill="FFFFFF"/>
            <w:vAlign w:val="top"/>
          </w:tcPr>
          <w:p>
            <w:pPr>
              <w:pStyle w:val="Compact"/>
              <w:keepLines/>
              <w:widowControl/>
              <w:spacing w:before="0" w:after="40" w:line="240" w:lineRule="auto"/>
              <w:jc w:val="left"/>
            </w:pPr>
            <w:r>
              <w:rPr>
                <w:sz w:val="20"/>
                <w:szCs w:val="20"/>
              </w:rPr>
              <w:t xml:space="preserve">Njësi të rezultatit</w:t>
            </w:r>
          </w:p>
        </w:tc>
      </w:tr>
    </w:tbl>
    <w:bookmarkEnd w:id="28"/>
    <w:bookmarkStart w:id="29" w:name="idetë-kryesore"/>
    <w:p>
      <w:pPr>
        <w:pStyle w:val="Heading2"/>
      </w:pPr>
      <w:r>
        <w:t xml:space="preserve">Idetë kryesore</w:t>
      </w:r>
    </w:p>
    <w:p>
      <w:pPr>
        <w:pStyle w:val="FirstParagraph"/>
      </w:pPr>
      <w:r>
        <w:t xml:space="preserve">Konstanta është matematikisht e nevojshme për ta pozicionuar vijën, por interpretimi i saj përmbajtësor varet nga fakti nëse zeroja ka kuptim dhe përfaqësohet nga të dhënat. Nëse vlerat e vrojtuara të ndryshores parashikuese janë larg zeros, konstanta është ekstrapolim. Në atë situatë, raportoje si koeficient modeli pa i dhënë një interpretim bazë nga bota reale, të cilin diapazoni i vrojtuar nuk mund ta mbështesë.</w:t>
      </w:r>
    </w:p>
    <w:p>
      <w:pPr>
        <w:pStyle w:val="BodyText"/>
      </w:pPr>
      <w:r>
        <w:t xml:space="preserve">Pjerrësia është koeficienti qendror. Pjerrësia pozitive do të thotë se rezultati mesatar i përshtatur rritet kur rritet ndryshorja parashikuese. Pjerrësia negative do të thotë se ai ulet. Madhësia duhet lexuar me njësitë e të dyja ndryshoreve. Pjerrësia dy do të thotë dy njësi rezultati për një njësi parashikuese, jo korrelacion prej dy. Pjerrësia përshkruan një model mesatar të kushtëzuar dhe jo një ndryshim të garantuar për çdo rast.</w:t>
      </w:r>
    </w:p>
    <w:p>
      <w:pPr>
        <w:pStyle w:val="BodyText"/>
      </w:pPr>
      <w:r>
        <w:t xml:space="preserve">Metoda e zakonshme e katrorëve më të vegjël zgjedh konstantën dhe pjerrësinë që minimizojnë shumën e rezidualeve të ngritura në katror. Ngritja në katror pengon anulimin e rezidualeve pozitive me ato negative dhe u jep peshë më të madhe mospërputhjeve më të mëdha. Kur modeli përmban një konstantë, vija e përshtatur kalon nëpër</w:t>
      </w:r>
      <w:r>
        <w:t xml:space="preserve"> </w:t>
      </w:r>
      <ns5:oMath>
        <ns5:d>
          <ns5:dPr>
            <ns5:begChr ns5:val="("/>
            <ns5:sepChr ns5:val=""/>
            <ns5:endChr ns5:val=")"/>
            <ns5:grow/>
          </ns5:dPr>
          <ns5:e>
            <ns5:acc>
              <ns5:accPr>
                <ns5:chr ns5:val="‾"/>
              </ns5:accPr>
              <ns5:e>
                <ns5:r>
                  <ns5:t>x</ns5:t>
                </ns5:r>
              </ns5:e>
            </ns5:acc>
            <ns5:r>
              <ns5:rPr>
                <ns5:sty ns5:val="p"/>
              </ns5:rPr>
              <ns5:t>,</ns5:t>
            </ns5:r>
            <ns5:acc>
              <ns5:accPr>
                <ns5:chr ns5:val="‾"/>
              </ns5:accPr>
              <ns5:e>
                <ns5:r>
                  <ns5:t>y</ns5:t>
                </ns5:r>
              </ns5:e>
            </ns5:acc>
          </ns5:e>
        </ns5:d>
      </ns5:oMath>
      <w:r>
        <w:t xml:space="preserve">. Atëherë shuma e rezidualeve është afërsisht zero, duke lënë mënjanë rrumbullakimin numerik.</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143"/>
        <w:gridCol w:w="3048"/>
        <w:gridCol w:w="3333"/>
      </w:tblGrid>
      <w:tr>
        <w:trPr>
          <w:cantSplit/>
          <w:tblHeader w:val="on"/>
        </w:trPr>
        <w:tc>
          <w:tcPr>
            <w:tcW w:w="3143" w:type="dxa"/>
            <w:shd w:fill="EAF2F6"/>
            <w:vAlign w:val="center"/>
          </w:tcPr>
          <w:p>
            <w:pPr>
              <w:pStyle w:val="Compact"/>
              <w:keepLines/>
              <w:widowControl/>
              <w:spacing w:before="0" w:after="40" w:line="240" w:lineRule="auto"/>
              <w:jc w:val="left"/>
            </w:pPr>
            <w:r>
              <w:rPr>
                <w:b/>
                <w:color w:val="183B56"/>
                <w:sz w:val="20"/>
                <w:szCs w:val="20"/>
              </w:rPr>
              <w:t xml:space="preserve">Veçoria diagnostikuese</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Modeli i dëshiruar</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Shqetësimi që sugjeron një model i dukshëm</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Rezidualet kundrejt vlerave të përshtatura</w:t>
            </w:r>
          </w:p>
        </w:tc>
        <w:tc>
          <w:tcPr>
            <w:tcW w:w="3048" w:type="dxa"/>
            <w:shd w:fill="F3F7F9"/>
            <w:vAlign w:val="top"/>
          </w:tcPr>
          <w:p>
            <w:pPr>
              <w:pStyle w:val="Compact"/>
              <w:keepLines/>
              <w:widowControl/>
              <w:spacing w:before="0" w:after="40" w:line="240" w:lineRule="auto"/>
              <w:jc w:val="left"/>
            </w:pPr>
            <w:r>
              <w:rPr>
                <w:sz w:val="20"/>
                <w:szCs w:val="20"/>
              </w:rPr>
              <w:t xml:space="preserve">Brez pa strukturë rreth zeros</w:t>
            </w:r>
          </w:p>
        </w:tc>
        <w:tc>
          <w:tcPr>
            <w:tcW w:w="3333" w:type="dxa"/>
            <w:shd w:fill="F3F7F9"/>
            <w:vAlign w:val="top"/>
          </w:tcPr>
          <w:p>
            <w:pPr>
              <w:pStyle w:val="Compact"/>
              <w:keepLines/>
              <w:widowControl/>
              <w:spacing w:before="0" w:after="40" w:line="240" w:lineRule="auto"/>
              <w:jc w:val="left"/>
            </w:pPr>
            <w:r>
              <w:rPr>
                <w:sz w:val="20"/>
                <w:szCs w:val="20"/>
              </w:rPr>
              <w:t xml:space="preserve">Lakim, shpërhapje që ndryshon ose strukturë e lënë jashtë</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Shpërhapja e rezidualeve</w:t>
            </w:r>
          </w:p>
        </w:tc>
        <w:tc>
          <w:tcPr>
            <w:tcW w:w="3048" w:type="dxa"/>
            <w:shd w:fill="FFFFFF"/>
            <w:vAlign w:val="top"/>
          </w:tcPr>
          <w:p>
            <w:pPr>
              <w:pStyle w:val="Compact"/>
              <w:keepLines/>
              <w:widowControl/>
              <w:spacing w:before="0" w:after="40" w:line="240" w:lineRule="auto"/>
              <w:jc w:val="left"/>
            </w:pPr>
            <w:r>
              <w:rPr>
                <w:sz w:val="20"/>
                <w:szCs w:val="20"/>
              </w:rPr>
              <w:t xml:space="preserve">Afërsisht e njëjtë nëpër vlerat e përshtatura</w:t>
            </w:r>
          </w:p>
        </w:tc>
        <w:tc>
          <w:tcPr>
            <w:tcW w:w="3333" w:type="dxa"/>
            <w:shd w:fill="FFFFFF"/>
            <w:vAlign w:val="top"/>
          </w:tcPr>
          <w:p>
            <w:pPr>
              <w:pStyle w:val="Compact"/>
              <w:keepLines/>
              <w:widowControl/>
              <w:spacing w:before="0" w:after="40" w:line="240" w:lineRule="auto"/>
              <w:jc w:val="left"/>
            </w:pPr>
            <w:r>
              <w:rPr>
                <w:sz w:val="20"/>
                <w:szCs w:val="20"/>
              </w:rPr>
              <w:t xml:space="preserve">Variancë e kushtëzuar jo e pandryshueshme</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Krahasimi kuantil i rezidualeve</w:t>
            </w:r>
          </w:p>
        </w:tc>
        <w:tc>
          <w:tcPr>
            <w:tcW w:w="3048" w:type="dxa"/>
            <w:shd w:fill="F3F7F9"/>
            <w:vAlign w:val="top"/>
          </w:tcPr>
          <w:p>
            <w:pPr>
              <w:pStyle w:val="Compact"/>
              <w:keepLines/>
              <w:widowControl/>
              <w:spacing w:before="0" w:after="40" w:line="240" w:lineRule="auto"/>
              <w:jc w:val="left"/>
            </w:pPr>
            <w:r>
              <w:rPr>
                <w:sz w:val="20"/>
                <w:szCs w:val="20"/>
              </w:rPr>
              <w:t xml:space="preserve">Model afërsisht i drejtë kur përdoret inferenca me gabime normale</w:t>
            </w:r>
          </w:p>
        </w:tc>
        <w:tc>
          <w:tcPr>
            <w:tcW w:w="3333" w:type="dxa"/>
            <w:shd w:fill="F3F7F9"/>
            <w:vAlign w:val="top"/>
          </w:tcPr>
          <w:p>
            <w:pPr>
              <w:pStyle w:val="Compact"/>
              <w:keepLines/>
              <w:widowControl/>
              <w:spacing w:before="0" w:after="40" w:line="240" w:lineRule="auto"/>
              <w:jc w:val="left"/>
            </w:pPr>
            <w:r>
              <w:rPr>
                <w:sz w:val="20"/>
                <w:szCs w:val="20"/>
              </w:rPr>
              <w:t xml:space="preserve">Devijime të forta në bishta ose reziduale të pazakonta</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Leva dhe ndikimi</w:t>
            </w:r>
          </w:p>
        </w:tc>
        <w:tc>
          <w:tcPr>
            <w:tcW w:w="3048" w:type="dxa"/>
            <w:shd w:fill="FFFFFF"/>
            <w:vAlign w:val="top"/>
          </w:tcPr>
          <w:p>
            <w:pPr>
              <w:pStyle w:val="Compact"/>
              <w:keepLines/>
              <w:widowControl/>
              <w:spacing w:before="0" w:after="40" w:line="240" w:lineRule="auto"/>
              <w:jc w:val="left"/>
            </w:pPr>
            <w:r>
              <w:rPr>
                <w:sz w:val="20"/>
                <w:szCs w:val="20"/>
              </w:rPr>
              <w:t xml:space="preserve">Asnjë rast i vetëm nuk e mbizotëron vijën e përshtatur</w:t>
            </w:r>
          </w:p>
        </w:tc>
        <w:tc>
          <w:tcPr>
            <w:tcW w:w="3333" w:type="dxa"/>
            <w:shd w:fill="FFFFFF"/>
            <w:vAlign w:val="top"/>
          </w:tcPr>
          <w:p>
            <w:pPr>
              <w:pStyle w:val="Compact"/>
              <w:keepLines/>
              <w:widowControl/>
              <w:spacing w:before="0" w:after="40" w:line="240" w:lineRule="auto"/>
              <w:jc w:val="left"/>
            </w:pPr>
            <w:r>
              <w:rPr>
                <w:sz w:val="20"/>
                <w:szCs w:val="20"/>
              </w:rPr>
              <w:t xml:space="preserve">Një rast me pozicion të pazakontë parashikues mund t’i ndryshojë fort koeficientët</w:t>
            </w:r>
          </w:p>
        </w:tc>
      </w:tr>
    </w:tbl>
    <w:p>
      <w:pPr>
        <w:pStyle w:val="BodyText"/>
      </w:pPr>
      <ns5:oMath>
        <ns5:sSup>
          <ns5:e>
            <ns5:r>
              <ns5:t>R</ns5:t>
            </ns5:r>
          </ns5:e>
          <ns5:sup>
            <ns5:r>
              <ns5:t>2</ns5:t>
            </ns5:r>
          </ns5:sup>
        </ns5:sSup>
      </ns5:oMath>
      <w:r>
        <w:t xml:space="preserve"> </w:t>
      </w:r>
      <w:r>
        <w:t xml:space="preserve">e krahason ndryshueshmërinë reziduale pas përshtatjes së vijës me ndryshueshmërinë e përgjithshme rreth mesatares së rezultatit. Për një model të zakonshëm me konstantë, ai shtrihet nga zero në një. Një vlerë më e madhe do të thotë se vija e përshtatur përfaqëson më shumë ndryshueshmëri të kampionit në</w:t>
      </w:r>
      <w:r>
        <w:t xml:space="preserve"> </w:t>
      </w:r>
      <ns5:oMath>
        <ns5:r>
          <ns5:t>Y</ns5:t>
        </ns5:r>
      </ns5:oMath>
      <w:r>
        <w:t xml:space="preserve">, por ajo nuk vërteton shkakësi, nuk garanton parashikime të sakta për individët dhe nuk dëshmon se forma e modelit është e përshtatshme. Një</w:t>
      </w:r>
      <w:r>
        <w:t xml:space="preserve"> </w:t>
      </w:r>
      <ns5:oMath>
        <ns5:sSup>
          <ns5:e>
            <ns5:r>
              <ns5:t>R</ns5:t>
            </ns5:r>
          </ns5:e>
          <ns5:sup>
            <ns5:r>
              <ns5:t>2</ns5:t>
            </ns5:r>
          </ns5:sup>
        </ns5:sSup>
      </ns5:oMath>
      <w:r>
        <w:t xml:space="preserve"> </w:t>
      </w:r>
      <w:r>
        <w:t xml:space="preserve">i lartë mund të shoqërohet me një model sistematik të rezidualeve.</w:t>
      </w:r>
    </w:p>
    <w:p>
      <w:pPr>
        <w:pStyle w:val="BodyText"/>
      </w:pPr>
      <w:r>
        <w:t xml:space="preserve">Inferenca për pjerrësinë pyet nëse një lidhje lineare e popullatës pajtohet me zeron sipas modelit. Intervali i besimit tregon cilat vlera të pjerrësisë pajtohen me vlerësimin dhe gabimin e tij standard. Supozimet lidhen me marrëdhënien e kushtëzuar: strukturë lineare e mesatares, vrojtime të pavarura, variancë e përshtatshme e rezidualeve dhe një shpërndarje reziduale e mjaftueshme për inferencën e synuar. Vetë ndryshorja parashikuese nuk ka pse të jetë e shpërndarë normalisht.</w:t>
      </w:r>
    </w:p>
    <w:p>
      <w:pPr>
        <w:pStyle w:val="BodyText"/>
      </w:pPr>
      <w:r>
        <w:t xml:space="preserve">Parashikimi i një pike kërkon kujdes. Vlera e përshtatur vlerëson rezultatin mesatar të kushtëzuar te një vlerë e zgjedhur parashikuese; ajo nuk garanton rezultatin e një individi. Parashikimi brenda diapazonit të vrojtuar është interpolim. Parashikimi përtej atij diapazoni është ekstrapolim dhe mbështetet në vazhdimin e patestuar të vijës së përshtatur, prandaj diapazoni i pambështetur duhet identifikuar shprehimisht.</w:t>
      </w:r>
    </w:p>
    <w:bookmarkEnd w:id="29"/>
    <w:bookmarkStart w:id="30" w:name="udhëzuesi-i-formulave"/>
    <w:p>
      <w:pPr>
        <w:pStyle w:val="Heading2"/>
      </w:pPr>
      <w:r>
        <w:t xml:space="preserve">Udhëzuesi i formulave</w:t>
      </w:r>
    </w:p>
    <w:p>
      <w:pPr>
        <w:pStyle w:val="FirstParagraph"/>
      </w:pPr>
      <w:r>
        <w:t xml:space="preserve">Modeli i popullatës e ndan një vijë sistematike nga një term individual gabimi:</w:t>
      </w:r>
    </w:p>
    <w:p>
      <w:pPr>
        <w:pStyle w:val="BodyText"/>
      </w:pPr>
      <ns5:oMathPara>
        <ns5:oMathParaPr>
          <ns5:jc ns5:val="center"/>
        </ns5:oMathParaPr>
        <ns5:oMath>
          <ns5:sSub>
            <ns5:e>
              <ns5:r>
                <ns5:t>Y</ns5:t>
              </ns5:r>
            </ns5:e>
            <ns5:sub>
              <ns5:r>
                <ns5:t>i</ns5:t>
              </ns5:r>
            </ns5:sub>
          </ns5:sSub>
          <ns5:r>
            <ns5:rPr>
              <ns5:sty ns5:val="p"/>
            </ns5:rPr>
            <ns5:t>=</ns5:t>
          </ns5:r>
          <ns5:sSub>
            <ns5:e>
              <ns5:r>
                <ns5:t>β</ns5:t>
              </ns5:r>
            </ns5:e>
            <ns5:sub>
              <ns5:r>
                <ns5:t>0</ns5:t>
              </ns5:r>
            </ns5:sub>
          </ns5:sSub>
          <ns5:r>
            <ns5:rPr>
              <ns5:sty ns5:val="p"/>
            </ns5:rPr>
            <ns5:t>+</ns5:t>
          </ns5:r>
          <ns5:sSub>
            <ns5:e>
              <ns5:r>
                <ns5:t>β</ns5:t>
              </ns5:r>
            </ns5:e>
            <ns5:sub>
              <ns5:r>
                <ns5:t>1</ns5:t>
              </ns5:r>
            </ns5:sub>
          </ns5:sSub>
          <ns5:sSub>
            <ns5:e>
              <ns5:r>
                <ns5:t>X</ns5:t>
              </ns5:r>
            </ns5:e>
            <ns5:sub>
              <ns5:r>
                <ns5:t>i</ns5:t>
              </ns5:r>
            </ns5:sub>
          </ns5:sSub>
          <ns5:r>
            <ns5:rPr>
              <ns5:sty ns5:val="p"/>
            </ns5:rPr>
            <ns5:t>+</ns5:t>
          </ns5:r>
          <ns5:sSub>
            <ns5:e>
              <ns5:r>
                <ns5:t>ε</ns5:t>
              </ns5:r>
            </ns5:e>
            <ns5:sub>
              <ns5:r>
                <ns5:t>i</ns5:t>
              </ns5:r>
            </ns5:sub>
          </ns5:sSub>
        </ns5:oMath>
      </ns5:oMathPara>
    </w:p>
    <w:p>
      <w:pPr>
        <w:pStyle w:val="FirstParagraph"/>
      </w:pPr>
      <ns5:oMath>
        <ns5:sSub>
          <ns5:e>
            <ns5:r>
              <ns5:t>β</ns5:t>
            </ns5:r>
          </ns5:e>
          <ns5:sub>
            <ns5:r>
              <ns5:t>0</ns5:t>
            </ns5:r>
          </ns5:sub>
        </ns5:sSub>
      </ns5:oMath>
      <w:r>
        <w:t xml:space="preserve"> </w:t>
      </w:r>
      <w:r>
        <w:t xml:space="preserve">dhe</w:t>
      </w:r>
      <w:r>
        <w:t xml:space="preserve"> </w:t>
      </w:r>
      <ns5:oMath>
        <ns5:sSub>
          <ns5:e>
            <ns5:r>
              <ns5:t>β</ns5:t>
            </ns5:r>
          </ns5:e>
          <ns5:sub>
            <ns5:r>
              <ns5:t>1</ns5:t>
            </ns5:r>
          </ns5:sub>
        </ns5:sSub>
      </ns5:oMath>
      <w:r>
        <w:t xml:space="preserve"> </w:t>
      </w:r>
      <w:r>
        <w:t xml:space="preserve">janë koeficiente të popullatës. Gabimi</w:t>
      </w:r>
      <w:r>
        <w:t xml:space="preserve"> </w:t>
      </w:r>
      <ns5:oMath>
        <ns5:sSub>
          <ns5:e>
            <ns5:r>
              <ns5:t>ε</ns5:t>
            </ns5:r>
          </ns5:e>
          <ns5:sub>
            <ns5:r>
              <ns5:t>i</ns5:t>
            </ns5:r>
          </ns5:sub>
        </ns5:sSub>
      </ns5:oMath>
      <w:r>
        <w:t xml:space="preserve"> </w:t>
      </w:r>
      <w:r>
        <w:t xml:space="preserve">përfaqëson dallimin mes rastit</w:t>
      </w:r>
      <w:r>
        <w:t xml:space="preserve"> </w:t>
      </w:r>
      <ns5:oMath>
        <ns5:r>
          <ns5:t>i</ns5:t>
        </ns5:r>
      </ns5:oMath>
      <w:r>
        <w:t xml:space="preserve"> </w:t>
      </w:r>
      <w:r>
        <w:t xml:space="preserve">dhe mesatares së kushtëzuar të popullatës. Pas përshtatjes së të dhënave të kampionit, vija e vlerësuar është:</w:t>
      </w:r>
    </w:p>
    <w:p>
      <w:pPr>
        <w:pStyle w:val="BodyText"/>
      </w:pPr>
      <ns5:oMathPara>
        <ns5:oMathParaPr>
          <ns5:jc ns5:val="center"/>
        </ns5:oMathParaPr>
        <ns5:oMath>
          <ns5:sSub>
            <ns5:e>
              <ns5:acc>
                <ns5:accPr>
                  <ns5:chr ns5:val="̂"/>
                </ns5:accPr>
                <ns5:e>
                  <ns5:r>
                    <ns5:t>y</ns5:t>
                  </ns5:r>
                </ns5:e>
              </ns5:acc>
            </ns5:e>
            <ns5:sub>
              <ns5:r>
                <ns5:t>i</ns5:t>
              </ns5:r>
            </ns5:sub>
          </ns5:sSub>
          <ns5:r>
            <ns5:rPr>
              <ns5:sty ns5:val="p"/>
            </ns5:rPr>
            <ns5:t>=</ns5:t>
          </ns5:r>
          <ns5:sSub>
            <ns5:e>
              <ns5:r>
                <ns5:t>b</ns5:t>
              </ns5:r>
            </ns5:e>
            <ns5:sub>
              <ns5:r>
                <ns5:t>0</ns5:t>
              </ns5:r>
            </ns5:sub>
          </ns5:sSub>
          <ns5:r>
            <ns5:rPr>
              <ns5:sty ns5:val="p"/>
            </ns5:rPr>
            <ns5:t>+</ns5:t>
          </ns5:r>
          <ns5:sSub>
            <ns5:e>
              <ns5:r>
                <ns5:t>b</ns5:t>
              </ns5:r>
            </ns5:e>
            <ns5:sub>
              <ns5:r>
                <ns5:t>1</ns5:t>
              </ns5:r>
            </ns5:sub>
          </ns5:sSub>
          <ns5:sSub>
            <ns5:e>
              <ns5:r>
                <ns5:t>x</ns5:t>
              </ns5:r>
            </ns5:e>
            <ns5:sub>
              <ns5:r>
                <ns5:t>i</ns5:t>
              </ns5:r>
            </ns5:sub>
          </ns5:sSub>
        </ns5:oMath>
      </ns5:oMathPara>
    </w:p>
    <w:p>
      <w:pPr>
        <w:pStyle w:val="FirstParagraph"/>
      </w:pPr>
      <w:r>
        <w:t xml:space="preserve">Reziduali e krahason vlerën e vrojtuar me këtë vlerë të përshtatur:</w:t>
      </w:r>
    </w:p>
    <w:p>
      <w:pPr>
        <w:pStyle w:val="BodyText"/>
      </w:pPr>
      <ns5:oMathPara>
        <ns5:oMathParaPr>
          <ns5:jc ns5:val="center"/>
        </ns5:oMathParaPr>
        <ns5:oMath>
          <ns5:sSub>
            <ns5:e>
              <ns5:r>
                <ns5:t>e</ns5:t>
              </ns5:r>
            </ns5:e>
            <ns5:sub>
              <ns5:r>
                <ns5:t>i</ns5:t>
              </ns5:r>
            </ns5:sub>
          </ns5:sSub>
          <ns5:r>
            <ns5:rPr>
              <ns5:sty ns5:val="p"/>
            </ns5:rPr>
            <ns5:t>=</ns5:t>
          </ns5:r>
          <ns5:sSub>
            <ns5:e>
              <ns5:r>
                <ns5:t>y</ns5:t>
              </ns5:r>
            </ns5:e>
            <ns5:sub>
              <ns5:r>
                <ns5:t>i</ns5:t>
              </ns5:r>
            </ns5:sub>
          </ns5:sSub>
          <ns5:r>
            <ns5:rPr>
              <ns5:sty ns5:val="p"/>
            </ns5:rPr>
            <ns5:t>−</ns5:t>
          </ns5:r>
          <ns5:sSub>
            <ns5:e>
              <ns5:acc>
                <ns5:accPr>
                  <ns5:chr ns5:val="̂"/>
                </ns5:accPr>
                <ns5:e>
                  <ns5:r>
                    <ns5:t>y</ns5:t>
                  </ns5:r>
                </ns5:e>
              </ns5:acc>
            </ns5:e>
            <ns5:sub>
              <ns5:r>
                <ns5:t>i</ns5:t>
              </ns5:r>
            </ns5:sub>
          </ns5:sSub>
        </ns5:oMath>
      </ns5:oMathPara>
    </w:p>
    <w:p>
      <w:pPr>
        <w:pStyle w:val="FirstParagraph"/>
      </w:pPr>
      <w:r>
        <w:t xml:space="preserve">Pjerrësia e katrorëve më të vegjël mund të shkruhet duke përdorur prodhimet e kryqëzuara të paraqitura te kovarianca:</w:t>
      </w:r>
    </w:p>
    <w:p>
      <w:pPr>
        <w:pStyle w:val="BodyText"/>
      </w:pPr>
      <ns5:oMathPara>
        <ns5:oMathParaPr>
          <ns5:jc ns5:val="center"/>
        </ns5:oMathParaPr>
        <ns5:oMath>
          <ns5:sSub>
            <ns5:e>
              <ns5:r>
                <ns5:t>b</ns5:t>
              </ns5:r>
            </ns5:e>
            <ns5:sub>
              <ns5:r>
                <ns5:t>1</ns5:t>
              </ns5:r>
            </ns5:sub>
          </ns5:sSub>
          <ns5:r>
            <ns5:rPr>
              <ns5:sty ns5:val="p"/>
            </ns5:rPr>
            <ns5:t>=</ns5:t>
          </ns5:r>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nary>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num>
            <ns5:den>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den>
          </ns5:f>
        </ns5:oMath>
      </ns5:oMathPara>
    </w:p>
    <w:p>
      <w:pPr>
        <w:pStyle w:val="FirstParagraph"/>
      </w:pPr>
      <w:r>
        <w:t xml:space="preserve">Pastaj konstanta e pozicionon vijën nëpër dy mesataret e kampionit:</w:t>
      </w:r>
    </w:p>
    <w:p>
      <w:pPr>
        <w:pStyle w:val="BodyText"/>
      </w:pPr>
      <ns5:oMathPara>
        <ns5:oMathParaPr>
          <ns5:jc ns5:val="center"/>
        </ns5:oMathParaPr>
        <ns5:oMath>
          <ns5:sSub>
            <ns5:e>
              <ns5:r>
                <ns5:t>b</ns5:t>
              </ns5:r>
            </ns5:e>
            <ns5:sub>
              <ns5:r>
                <ns5:t>0</ns5:t>
              </ns5:r>
            </ns5:sub>
          </ns5:sSub>
          <ns5:r>
            <ns5:rPr>
              <ns5:sty ns5:val="p"/>
            </ns5:rPr>
            <ns5:t>=</ns5:t>
          </ns5:r>
          <ns5:acc>
            <ns5:accPr>
              <ns5:chr ns5:val="‾"/>
            </ns5:accPr>
            <ns5:e>
              <ns5:r>
                <ns5:t>y</ns5:t>
              </ns5:r>
            </ns5:e>
          </ns5:acc>
          <ns5:r>
            <ns5:rPr>
              <ns5:sty ns5:val="p"/>
            </ns5:rPr>
            <ns5:t>−</ns5:t>
          </ns5:r>
          <ns5:sSub>
            <ns5:e>
              <ns5:r>
                <ns5:t>b</ns5:t>
              </ns5:r>
            </ns5:e>
            <ns5:sub>
              <ns5:r>
                <ns5:t>1</ns5:t>
              </ns5:r>
            </ns5:sub>
          </ns5:sSub>
          <ns5:acc>
            <ns5:accPr>
              <ns5:chr ns5:val="‾"/>
            </ns5:accPr>
            <ns5:e>
              <ns5:r>
                <ns5:t>x</ns5:t>
              </ns5:r>
            </ns5:e>
          </ns5:acc>
        </ns5:oMath>
      </ns5:oMathPara>
    </w:p>
    <w:p>
      <w:pPr>
        <w:pStyle w:val="FirstParagraph"/>
      </w:pPr>
      <w:r>
        <w:t xml:space="preserve">Koeficienti i përcaktimit është pjesa e ndryshueshmërisë së përgjithshme të rezultatit që përfaqësohet nga modeli i përshtatur:</w:t>
      </w:r>
    </w:p>
    <w:p>
      <w:pPr>
        <w:pStyle w:val="BodyText"/>
      </w:pPr>
      <ns5:oMathPara>
        <ns5:oMathParaPr>
          <ns5:jc ns5:val="center"/>
        </ns5:oMathParaPr>
        <ns5:oMath>
          <ns5:sSup>
            <ns5:e>
              <ns5:r>
                <ns5:t>R</ns5:t>
              </ns5:r>
            </ns5:e>
            <ns5:sup>
              <ns5:r>
                <ns5:t>2</ns5:t>
              </ns5:r>
            </ns5:sup>
          </ns5:sSup>
          <ns5:r>
            <ns5:rPr>
              <ns5:sty ns5:val="p"/>
            </ns5:rPr>
            <ns5:t>=</ns5:t>
          </ns5:r>
          <ns5:r>
            <ns5:t>1</ns5:t>
          </ns5:r>
          <ns5:r>
            <ns5:rPr>
              <ns5:sty ns5:val="p"/>
            </ns5:rPr>
            <ns5:t>−</ns5:t>
          </ns5:r>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sSubSup>
                    <ns5:e>
                      <ns5:r>
                        <ns5:t>e</ns5:t>
                      </ns5:r>
                    </ns5:e>
                    <ns5:sub>
                      <ns5:r>
                        <ns5:t>i</ns5:t>
                      </ns5:r>
                    </ns5:sub>
                    <ns5:sup>
                      <ns5:r>
                        <ns5:t>2</ns5:t>
                      </ns5:r>
                    </ns5:sup>
                  </ns5:sSubSup>
                </ns5:e>
              </ns5:nary>
            </ns5:num>
            <ns5:den>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e>
                    <ns5:sup>
                      <ns5:r>
                        <ns5:t>2</ns5:t>
                      </ns5:r>
                    </ns5:sup>
                  </ns5:sSup>
                </ns5:e>
              </ns5:nary>
            </ns5:den>
          </ns5:f>
        </ns5:oMath>
      </ns5:oMathPara>
    </w:p>
    <w:p>
      <w:pPr>
        <w:pStyle w:val="FirstParagraph"/>
      </w:pPr>
      <w:r>
        <w:t xml:space="preserve">Me një ndryshore parashikuese dhe një konstantë,</w:t>
      </w:r>
      <w:r>
        <w:t xml:space="preserve"> </w:t>
      </w:r>
      <ns5:oMath>
        <ns5:sSup>
          <ns5:e>
            <ns5:r>
              <ns5:t>R</ns5:t>
            </ns5:r>
          </ns5:e>
          <ns5:sup>
            <ns5:r>
              <ns5:t>2</ns5:t>
            </ns5:r>
          </ns5:sup>
        </ns5:sSup>
        <ns5:r>
          <ns5:rPr>
            <ns5:sty ns5:val="p"/>
          </ns5:rPr>
          <ns5:t>=</ns5:t>
        </ns5:r>
        <ns5:sSubSup>
          <ns5:e>
            <ns5:r>
              <ns5:t>r</ns5:t>
            </ns5:r>
          </ns5:e>
          <ns5:sub>
            <ns5:r>
              <ns5:t>x</ns5:t>
            </ns5:r>
            <ns5:r>
              <ns5:t>y</ns5:t>
            </ns5:r>
          </ns5:sub>
          <ns5:sup>
            <ns5:r>
              <ns5:t>2</ns5:t>
            </ns5:r>
          </ns5:sup>
        </ns5:sSubSup>
      </ns5:oMath>
      <w:r>
        <w:t xml:space="preserve">. Pjerrësia mund të shprehet edhe si</w:t>
      </w:r>
      <w:r>
        <w:t xml:space="preserve"> </w:t>
      </w:r>
      <ns5:oMath>
        <ns5:sSub>
          <ns5:e>
            <ns5:r>
              <ns5:t>b</ns5:t>
            </ns5:r>
          </ns5:e>
          <ns5:sub>
            <ns5:r>
              <ns5:t>1</ns5:t>
            </ns5:r>
          </ns5:sub>
        </ns5:sSub>
        <ns5:r>
          <ns5:rPr>
            <ns5:sty ns5:val="p"/>
          </ns5:rPr>
          <ns5:t>=</ns5:t>
        </ns5:r>
        <ns5:sSub>
          <ns5:e>
            <ns5:r>
              <ns5:t>r</ns5:t>
            </ns5:r>
          </ns5:e>
          <ns5:sub>
            <ns5:r>
              <ns5:t>x</ns5:t>
            </ns5:r>
            <ns5:r>
              <ns5:t>y</ns5:t>
            </ns5:r>
          </ns5:sub>
        </ns5:sSub>
        <ns5:d>
          <ns5:dPr>
            <ns5:begChr ns5:val="("/>
            <ns5:sepChr ns5:val=""/>
            <ns5:endChr ns5:val=")"/>
            <ns5:grow/>
          </ns5:dPr>
          <ns5:e>
            <ns5:sSub>
              <ns5:e>
                <ns5:r>
                  <ns5:t>s</ns5:t>
                </ns5:r>
              </ns5:e>
              <ns5:sub>
                <ns5:r>
                  <ns5:t>y</ns5:t>
                </ns5:r>
              </ns5:sub>
            </ns5:sSub>
            <ns5:r>
              <ns5:rPr>
                <ns5:sty ns5:val="p"/>
              </ns5:rPr>
              <ns5:t>/</ns5:t>
            </ns5:r>
            <ns5:sSub>
              <ns5:e>
                <ns5:r>
                  <ns5:t>s</ns5:t>
                </ns5:r>
              </ns5:e>
              <ns5:sub>
                <ns5:r>
                  <ns5:t>x</ns5:t>
                </ns5:r>
              </ns5:sub>
            </ns5:sSub>
          </ns5:e>
        </ns5:d>
      </ns5:oMath>
      <w:r>
        <w:t xml:space="preserve">, gjë që tregon si përkthehet lidhja e standardizuar përsëri në njësitë fillestare të ndryshoreve.</w:t>
      </w:r>
    </w:p>
    <w:p>
      <w:pPr>
        <w:pStyle w:val="BodyText"/>
      </w:pPr>
      <w:r>
        <w:t xml:space="preserve">Vija e përshtatur e ndan secilin devijim të vrojtuar në një përbërës të modelit dhe një përbërës rezidual:</w:t>
      </w:r>
    </w:p>
    <w:p>
      <w:pPr>
        <w:pStyle w:val="BodyText"/>
      </w:pPr>
      <ns5:oMathPara>
        <ns5:oMathParaPr>
          <ns5:jc ns5:val="center"/>
        </ns5:oMathParaPr>
        <ns5:oMath>
          <ns5:sSub>
            <ns5:e>
              <ns5:r>
                <ns5:t>y</ns5:t>
              </ns5:r>
            </ns5:e>
            <ns5:sub>
              <ns5:r>
                <ns5:t>i</ns5:t>
              </ns5:r>
            </ns5:sub>
          </ns5:sSub>
          <ns5:r>
            <ns5:rPr>
              <ns5:sty ns5:val="p"/>
            </ns5:rPr>
            <ns5:t>−</ns5:t>
          </ns5:r>
          <ns5:acc>
            <ns5:accPr>
              <ns5:chr ns5:val="‾"/>
            </ns5:accPr>
            <ns5:e>
              <ns5:r>
                <ns5:t>y</ns5:t>
              </ns5:r>
            </ns5:e>
          </ns5:acc>
          <ns5:r>
            <ns5:rPr>
              <ns5:sty ns5:val="p"/>
            </ns5:rPr>
            <ns5:t>=</ns5:t>
          </ns5:r>
          <ns5:d>
            <ns5:dPr>
              <ns5:begChr ns5:val="("/>
              <ns5:sepChr ns5:val=""/>
              <ns5:endChr ns5:val=")"/>
              <ns5:grow/>
            </ns5:dPr>
            <ns5:e>
              <ns5:sSub>
                <ns5:e>
                  <ns5:acc>
                    <ns5:accPr>
                      <ns5:chr ns5:val="̂"/>
                    </ns5:accPr>
                    <ns5:e>
                      <ns5:r>
                        <ns5:t>y</ns5:t>
                      </ns5:r>
                    </ns5:e>
                  </ns5:acc>
                </ns5:e>
                <ns5:sub>
                  <ns5:r>
                    <ns5:t>i</ns5:t>
                  </ns5:r>
                </ns5:sub>
              </ns5:sSub>
              <ns5:r>
                <ns5:rPr>
                  <ns5:sty ns5:val="p"/>
                </ns5:rPr>
                <ns5:t>−</ns5:t>
              </ns5:r>
              <ns5:acc>
                <ns5:accPr>
                  <ns5:chr ns5:val="‾"/>
                </ns5:accPr>
                <ns5:e>
                  <ns5:r>
                    <ns5:t>y</ns5:t>
                  </ns5:r>
                </ns5:e>
              </ns5:acc>
            </ns5:e>
          </ns5:d>
          <ns5:r>
            <ns5:rPr>
              <ns5:sty ns5:val="p"/>
            </ns5:rPr>
            <ns5:t>+</ns5:t>
          </ns5:r>
          <ns5:d>
            <ns5:dPr>
              <ns5:begChr ns5:val="("/>
              <ns5:sepChr ns5:val=""/>
              <ns5:endChr ns5:val=")"/>
              <ns5:grow/>
            </ns5:dPr>
            <ns5:e>
              <ns5:sSub>
                <ns5:e>
                  <ns5:r>
                    <ns5:t>y</ns5:t>
                  </ns5:r>
                </ns5:e>
                <ns5:sub>
                  <ns5:r>
                    <ns5:t>i</ns5:t>
                  </ns5:r>
                </ns5:sub>
              </ns5:sSub>
              <ns5:r>
                <ns5:rPr>
                  <ns5:sty ns5:val="p"/>
                </ns5:rPr>
                <ns5:t>−</ns5:t>
              </ns5:r>
              <ns5:sSub>
                <ns5:e>
                  <ns5:acc>
                    <ns5:accPr>
                      <ns5:chr ns5:val="̂"/>
                    </ns5:accPr>
                    <ns5:e>
                      <ns5:r>
                        <ns5:t>y</ns5:t>
                      </ns5:r>
                    </ns5:e>
                  </ns5:acc>
                </ns5:e>
                <ns5:sub>
                  <ns5:r>
                    <ns5:t>i</ns5:t>
                  </ns5:r>
                </ns5:sub>
              </ns5:sSub>
            </ns5:e>
          </ns5:d>
          <ns5:r>
            <ns5:rPr>
              <ns5:sty ns5:val="p"/>
            </ns5:rPr>
            <ns5:t>.</ns5:t>
          </ns5:r>
        </ns5:oMath>
      </ns5:oMathPara>
    </w:p>
    <w:p>
      <w:pPr>
        <w:pStyle w:val="FirstParagraph"/>
      </w:pPr>
      <w:r>
        <w:t xml:space="preserve">Për një model OLS me konstantë, ngritja në katror dhe mbledhja nëpër të gjitha rastet japin</w:t>
      </w:r>
    </w:p>
    <w:p>
      <w:pPr>
        <w:pStyle w:val="BodyText"/>
      </w:pPr>
      <ns5:oMathPara>
        <ns5:oMathParaPr>
          <ns5:jc ns5:val="center"/>
        </ns5:oMathParaPr>
        <ns5:oMath>
          <ns5:r>
            <ns5:t>S</ns5:t>
          </ns5:r>
          <ns5:sSub>
            <ns5:e>
              <ns5:r>
                <ns5:t>S</ns5:t>
              </ns5:r>
            </ns5:e>
            <ns5:sub>
              <ns5:r>
                <ns5:rPr>
                  <ns5:nor/>
                  <ns5:sty ns5:val="p"/>
                </ns5:rPr>
                <ns5:t>total</ns5:t>
              </ns5:r>
            </ns5:sub>
          </ns5:sSub>
          <ns5:r>
            <ns5:rPr>
              <ns5:sty ns5:val="p"/>
            </ns5:rPr>
            <ns5:t>=</ns5:t>
          </ns5:r>
          <ns5:r>
            <ns5:t>S</ns5:t>
          </ns5:r>
          <ns5:sSub>
            <ns5:e>
              <ns5:r>
                <ns5:t>S</ns5:t>
              </ns5:r>
            </ns5:e>
            <ns5:sub>
              <ns5:r>
                <ns5:rPr>
                  <ns5:nor/>
                  <ns5:sty ns5:val="p"/>
                </ns5:rPr>
                <ns5:t>model</ns5:t>
              </ns5:r>
            </ns5:sub>
          </ns5:sSub>
          <ns5:r>
            <ns5:rPr>
              <ns5:sty ns5:val="p"/>
            </ns5:rPr>
            <ns5:t>+</ns5:t>
          </ns5:r>
          <ns5:r>
            <ns5:t>S</ns5:t>
          </ns5:r>
          <ns5:sSub>
            <ns5:e>
              <ns5:r>
                <ns5:t>S</ns5:t>
              </ns5:r>
            </ns5:e>
            <ns5:sub>
              <ns5:r>
                <ns5:rPr>
                  <ns5:nor/>
                  <ns5:sty ns5:val="p"/>
                </ns5:rPr>
                <ns5:t>error</ns5:t>
              </ns5:r>
            </ns5:sub>
          </ns5:sSub>
          <ns5:r>
            <ns5:rPr>
              <ns5:sty ns5:val="p"/>
            </ns5:rPr>
            <ns5:t>,</ns5:t>
          </ns5:r>
        </ns5:oMath>
      </ns5:oMathPara>
    </w:p>
    <w:p>
      <w:pPr>
        <w:pStyle w:val="FirstParagraph"/>
      </w:pPr>
      <w:r>
        <w:t xml:space="preserve">ku</w:t>
      </w:r>
    </w:p>
    <w:p>
      <w:pPr>
        <w:pStyle w:val="BodyText"/>
      </w:pPr>
      <ns5:oMathPara>
        <ns5:oMathParaPr>
          <ns5:jc ns5:val="center"/>
        </ns5:oMathParaPr>
        <ns5:oMath>
          <ns5:r>
            <ns5:t>S</ns5:t>
          </ns5:r>
          <ns5:sSub>
            <ns5:e>
              <ns5:r>
                <ns5:t>S</ns5:t>
              </ns5:r>
            </ns5:e>
            <ns5:sub>
              <ns5:r>
                <ns5:rPr>
                  <ns5:nor/>
                  <ns5:sty ns5:val="p"/>
                </ns5:rPr>
                <ns5:t>total</ns5:t>
              </ns5:r>
            </ns5:sub>
          </ns5:sSub>
          <ns5:r>
            <ns5:rPr>
              <ns5:sty ns5:val="p"/>
            </ns5:rPr>
            <ns5:t>=</ns5:t>
          </ns5:r>
          <ns5:nary>
            <ns5:naryPr>
              <ns5:chr ns5:val="∑"/>
              <ns5:limLoc ns5:val="undOvr"/>
              <ns5:subHide ns5:val="off"/>
              <ns5:supHide ns5:val="on"/>
            </ns5:naryPr>
            <ns5:sub>
              <ns5:r>
                <ns5:t>i</ns5:t>
              </ns5:r>
            </ns5:sub>
            <ns5:sup>
              <ns5:r>
                <ns5:t>​</ns5:t>
              </ns5:r>
            </ns5:sup>
            <ns5:e>
              <ns5:sSup>
                <ns5:e>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e>
                <ns5:sup>
                  <ns5:r>
                    <ns5:t>2</ns5:t>
                  </ns5:r>
                </ns5:sup>
              </ns5:sSup>
            </ns5:e>
          </ns5:nary>
          <ns5:r>
            <ns5:rPr>
              <ns5:sty ns5:val="p"/>
            </ns5:rPr>
            <ns5:t>,</ns5:t>
          </ns5:r>
          <ns5:r>
            <ns5:t>  </ns5:t>
          </ns5:r>
          <ns5:r>
            <ns5:t>S</ns5:t>
          </ns5:r>
          <ns5:sSub>
            <ns5:e>
              <ns5:r>
                <ns5:t>S</ns5:t>
              </ns5:r>
            </ns5:e>
            <ns5:sub>
              <ns5:r>
                <ns5:rPr>
                  <ns5:nor/>
                  <ns5:sty ns5:val="p"/>
                </ns5:rPr>
                <ns5:t>model</ns5:t>
              </ns5:r>
            </ns5:sub>
          </ns5:sSub>
          <ns5:r>
            <ns5:rPr>
              <ns5:sty ns5:val="p"/>
            </ns5:rPr>
            <ns5:t>=</ns5:t>
          </ns5:r>
          <ns5:nary>
            <ns5:naryPr>
              <ns5:chr ns5:val="∑"/>
              <ns5:limLoc ns5:val="undOvr"/>
              <ns5:subHide ns5:val="off"/>
              <ns5:supHide ns5:val="on"/>
            </ns5:naryPr>
            <ns5:sub>
              <ns5:r>
                <ns5:t>i</ns5:t>
              </ns5:r>
            </ns5:sub>
            <ns5:sup>
              <ns5:r>
                <ns5:t>​</ns5:t>
              </ns5:r>
            </ns5:sup>
            <ns5:e>
              <ns5:sSup>
                <ns5:e>
                  <ns5:d>
                    <ns5:dPr>
                      <ns5:begChr ns5:val="("/>
                      <ns5:sepChr ns5:val=""/>
                      <ns5:endChr ns5:val=")"/>
                      <ns5:grow/>
                    </ns5:dPr>
                    <ns5:e>
                      <ns5:sSub>
                        <ns5:e>
                          <ns5:acc>
                            <ns5:accPr>
                              <ns5:chr ns5:val="̂"/>
                            </ns5:accPr>
                            <ns5:e>
                              <ns5:r>
                                <ns5:t>y</ns5:t>
                              </ns5:r>
                            </ns5:e>
                          </ns5:acc>
                        </ns5:e>
                        <ns5:sub>
                          <ns5:r>
                            <ns5:t>i</ns5:t>
                          </ns5:r>
                        </ns5:sub>
                      </ns5:sSub>
                      <ns5:r>
                        <ns5:rPr>
                          <ns5:sty ns5:val="p"/>
                        </ns5:rPr>
                        <ns5:t>−</ns5:t>
                      </ns5:r>
                      <ns5:acc>
                        <ns5:accPr>
                          <ns5:chr ns5:val="‾"/>
                        </ns5:accPr>
                        <ns5:e>
                          <ns5:r>
                            <ns5:t>y</ns5:t>
                          </ns5:r>
                        </ns5:e>
                      </ns5:acc>
                    </ns5:e>
                  </ns5:d>
                </ns5:e>
                <ns5:sup>
                  <ns5:r>
                    <ns5:t>2</ns5:t>
                  </ns5:r>
                </ns5:sup>
              </ns5:sSup>
            </ns5:e>
          </ns5:nary>
          <ns5:r>
            <ns5:rPr>
              <ns5:sty ns5:val="p"/>
            </ns5:rPr>
            <ns5:t>,</ns5:t>
          </ns5:r>
          <ns5:r>
            <ns5:t>  </ns5:t>
          </ns5:r>
          <ns5:r>
            <ns5:t>S</ns5:t>
          </ns5:r>
          <ns5:sSub>
            <ns5:e>
              <ns5:r>
                <ns5:t>S</ns5:t>
              </ns5:r>
            </ns5:e>
            <ns5:sub>
              <ns5:r>
                <ns5:rPr>
                  <ns5:nor/>
                  <ns5:sty ns5:val="p"/>
                </ns5:rPr>
                <ns5:t>error</ns5:t>
              </ns5:r>
            </ns5:sub>
          </ns5:sSub>
          <ns5:r>
            <ns5:rPr>
              <ns5:sty ns5:val="p"/>
            </ns5:rPr>
            <ns5:t>=</ns5:t>
          </ns5:r>
          <ns5:nary>
            <ns5:naryPr>
              <ns5:chr ns5:val="∑"/>
              <ns5:limLoc ns5:val="undOvr"/>
              <ns5:subHide ns5:val="off"/>
              <ns5:supHide ns5:val="on"/>
            </ns5:naryPr>
            <ns5:sub>
              <ns5:r>
                <ns5:t>i</ns5:t>
              </ns5:r>
            </ns5:sub>
            <ns5:sup>
              <ns5:r>
                <ns5:t>​</ns5:t>
              </ns5:r>
            </ns5:sup>
            <ns5:e>
              <ns5:sSup>
                <ns5:e>
                  <ns5:d>
                    <ns5:dPr>
                      <ns5:begChr ns5:val="("/>
                      <ns5:sepChr ns5:val=""/>
                      <ns5:endChr ns5:val=")"/>
                      <ns5:grow/>
                    </ns5:dPr>
                    <ns5:e>
                      <ns5:sSub>
                        <ns5:e>
                          <ns5:r>
                            <ns5:t>y</ns5:t>
                          </ns5:r>
                        </ns5:e>
                        <ns5:sub>
                          <ns5:r>
                            <ns5:t>i</ns5:t>
                          </ns5:r>
                        </ns5:sub>
                      </ns5:sSub>
                      <ns5:r>
                        <ns5:rPr>
                          <ns5:sty ns5:val="p"/>
                        </ns5:rPr>
                        <ns5:t>−</ns5:t>
                      </ns5:r>
                      <ns5:sSub>
                        <ns5:e>
                          <ns5:acc>
                            <ns5:accPr>
                              <ns5:chr ns5:val="̂"/>
                            </ns5:accPr>
                            <ns5:e>
                              <ns5:r>
                                <ns5:t>y</ns5:t>
                              </ns5:r>
                            </ns5:e>
                          </ns5:acc>
                        </ns5:e>
                        <ns5:sub>
                          <ns5:r>
                            <ns5:t>i</ns5:t>
                          </ns5:r>
                        </ns5:sub>
                      </ns5:sSub>
                    </ns5:e>
                  </ns5:d>
                </ns5:e>
                <ns5:sup>
                  <ns5:r>
                    <ns5:t>2</ns5:t>
                  </ns5:r>
                </ns5:sup>
              </ns5:sSup>
            </ns5:e>
          </ns5:nary>
          <ns5:r>
            <ns5:rPr>
              <ns5:sty ns5:val="p"/>
            </ns5:rPr>
            <ns5:t>.</ns5:t>
          </ns5:r>
        </ns5:oMath>
      </ns5:oMathPara>
    </w:p>
    <w:p>
      <w:pPr>
        <w:pStyle w:val="FirstParagraph"/>
      </w:pPr>
      <w:r>
        <w:t xml:space="preserve">Ndarja e saktë e katrorëve është rezultat i modelit OLS për kampionin e plotë. Mos i ngri në katror tri largësitë me shenjë për një rast të vetëm duke pritur që i njëjti identitet të vlejë rast pas rasti.</w:t>
      </w:r>
    </w:p>
    <w:p>
      <w:pPr>
        <w:pStyle w:val="BodyText"/>
      </w:pPr>
      <w:r>
        <w:t xml:space="preserve">Gabimi standard i rezidualeve vlerëson shpërhapjen tipike të gabimit në njësitë e rezultatit:</w:t>
      </w:r>
    </w:p>
    <w:p>
      <w:pPr>
        <w:pStyle w:val="BodyText"/>
      </w:pPr>
      <ns5:oMathPara>
        <ns5:oMathParaPr>
          <ns5:jc ns5:val="center"/>
        </ns5:oMathParaPr>
        <ns5:oMath>
          <ns5:sSub>
            <ns5:e>
              <ns5:r>
                <ns5:t>s</ns5:t>
              </ns5:r>
            </ns5:e>
            <ns5:sub>
              <ns5:r>
                <ns5:t>e</ns5:t>
              </ns5:r>
            </ns5:sub>
          </ns5:sSub>
          <ns5:r>
            <ns5:rPr>
              <ns5:sty ns5:val="p"/>
            </ns5:rPr>
            <ns5:t>=</ns5:t>
          </ns5:r>
          <ns5:rad>
            <ns5:radPr>
              <ns5:degHide ns5:val="on"/>
            </ns5:radPr>
            <ns5:deg/>
            <ns5:e>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sSubSup>
                        <ns5:e>
                          <ns5:r>
                            <ns5:t>e</ns5:t>
                          </ns5:r>
                        </ns5:e>
                        <ns5:sub>
                          <ns5:r>
                            <ns5:t>i</ns5:t>
                          </ns5:r>
                        </ns5:sub>
                        <ns5:sup>
                          <ns5:r>
                            <ns5:t>2</ns5:t>
                          </ns5:r>
                        </ns5:sup>
                      </ns5:sSubSup>
                    </ns5:e>
                  </ns5:nary>
                </ns5:num>
                <ns5:den>
                  <ns5:r>
                    <ns5:t>n</ns5:t>
                  </ns5:r>
                  <ns5:r>
                    <ns5:rPr>
                      <ns5:sty ns5:val="p"/>
                    </ns5:rPr>
                    <ns5:t>−</ns5:t>
                  </ns5:r>
                  <ns5:r>
                    <ns5:t>2</ns5:t>
                  </ns5:r>
                </ns5:den>
              </ns5:f>
            </ns5:e>
          </ns5:rad>
          <ns5:r>
            <ns5:rPr>
              <ns5:sty ns5:val="p"/>
            </ns5:rPr>
            <ns5:t>.</ns5:t>
          </ns5:r>
        </ns5:oMath>
      </ns5:oMathPara>
    </w:p>
    <w:p>
      <w:pPr>
        <w:pStyle w:val="FirstParagraph"/>
      </w:pPr>
      <w:r>
        <w:t xml:space="preserve">Emëruesi përdor</w:t>
      </w:r>
      <w:r>
        <w:t xml:space="preserve"> </w:t>
      </w:r>
      <ns5:oMath>
        <ns5:r>
          <ns5:t>n</ns5:t>
        </ns5:r>
        <ns5:r>
          <ns5:rPr>
            <ns5:sty ns5:val="p"/>
          </ns5:rPr>
          <ns5:t>−</ns5:t>
        </ns5:r>
        <ns5:r>
          <ns5:t>2</ns5:t>
        </ns5:r>
      </ns5:oMath>
      <w:r>
        <w:t xml:space="preserve">, sepse vija vlerëson një konstantë dhe një pjerrësi. Kjo madhësi ndryshon nga gabimi standard i pjerrësisë, i cili mat pasigurinë e</w:t>
      </w:r>
      <w:r>
        <w:t xml:space="preserve"> </w:t>
      </w:r>
      <ns5:oMath>
        <ns5:sSub>
          <ns5:e>
            <ns5:r>
              <ns5:t>b</ns5:t>
            </ns5:r>
          </ns5:e>
          <ns5:sub>
            <ns5:r>
              <ns5:t>1</ns5:t>
            </ns5:r>
          </ns5:sub>
        </ns5:sSub>
      </ns5:oMath>
      <w:r>
        <w:t xml:space="preserve"> </w:t>
      </w:r>
      <w:r>
        <w:t xml:space="preserve">nëpër kampione të përsëritura hipotetike:</w:t>
      </w:r>
    </w:p>
    <w:p>
      <w:pPr>
        <w:pStyle w:val="BodyText"/>
      </w:pPr>
      <ns5:oMathPara>
        <ns5:oMathParaPr>
          <ns5:jc ns5:val="center"/>
        </ns5:oMathParaPr>
        <ns5:oMath>
          <ns5:r>
            <ns5:t>S</ns5:t>
          </ns5:r>
          <ns5:r>
            <ns5:t>E</ns5:t>
          </ns5:r>
          <ns5:d>
            <ns5:dPr>
              <ns5:begChr ns5:val="("/>
              <ns5:sepChr ns5:val=""/>
              <ns5:endChr ns5:val=")"/>
              <ns5:grow/>
            </ns5:dPr>
            <ns5:e>
              <ns5:sSub>
                <ns5:e>
                  <ns5:r>
                    <ns5:t>b</ns5:t>
                  </ns5:r>
                </ns5:e>
                <ns5:sub>
                  <ns5:r>
                    <ns5:t>1</ns5:t>
                  </ns5:r>
                </ns5:sub>
              </ns5:sSub>
            </ns5:e>
          </ns5:d>
          <ns5:r>
            <ns5:rPr>
              <ns5:sty ns5:val="p"/>
            </ns5:rPr>
            <ns5:t>=</ns5:t>
          </ns5:r>
          <ns5:f>
            <ns5:fPr>
              <ns5:type ns5:val="bar"/>
            </ns5:fPr>
            <ns5:num>
              <ns5:sSub>
                <ns5:e>
                  <ns5:r>
                    <ns5:t>s</ns5:t>
                  </ns5:r>
                </ns5:e>
                <ns5:sub>
                  <ns5:r>
                    <ns5:t>e</ns5:t>
                  </ns5:r>
                </ns5:sub>
              </ns5:sSub>
            </ns5:num>
            <ns5:den>
              <ns5:rad>
                <ns5:radPr>
                  <ns5:degHide ns5:val="on"/>
                </ns5:radPr>
                <ns5:deg/>
                <ns5:e>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e>
              </ns5:rad>
            </ns5:den>
          </ns5:f>
          <ns5:r>
            <ns5:rPr>
              <ns5:sty ns5:val="p"/>
            </ns5:rPr>
            <ns5:t>.</ns5:t>
          </ns5:r>
        </ns5:oMath>
      </ns5:oMathPara>
    </w:p>
    <w:p>
      <w:pPr>
        <w:pStyle w:val="FirstParagraph"/>
      </w:pPr>
      <w:r>
        <w:t xml:space="preserve">Për</w:t>
      </w:r>
      <w:r>
        <w:t xml:space="preserve"> </w:t>
      </w:r>
      <ns5:oMath>
        <ns5:sSub>
          <ns5:e>
            <ns5:r>
              <ns5:t>H</ns5:t>
            </ns5:r>
          </ns5:e>
          <ns5:sub>
            <ns5:r>
              <ns5:t>0</ns5:t>
            </ns5:r>
          </ns5:sub>
        </ns5:sSub>
        <ns5:r>
          <ns5:rPr>
            <ns5:sty ns5:val="p"/>
          </ns5:rPr>
          <ns5:t>:</ns5:t>
        </ns5:r>
        <ns5:sSub>
          <ns5:e>
            <ns5:r>
              <ns5:t>β</ns5:t>
            </ns5:r>
          </ns5:e>
          <ns5:sub>
            <ns5:r>
              <ns5:t>1</ns5:t>
            </ns5:r>
          </ns5:sub>
        </ns5:sSub>
        <ns5:r>
          <ns5:rPr>
            <ns5:sty ns5:val="p"/>
          </ns5:rPr>
          <ns5:t>=</ns5:t>
        </ns5:r>
        <ns5:r>
          <ns5:t>0</ns5:t>
        </ns5:r>
      </ns5:oMath>
      <w:r>
        <w:t xml:space="preserve">, testi i koeficientit dhe intervali përkatës i dyanshëm janë</w:t>
      </w:r>
    </w:p>
    <w:p>
      <w:pPr>
        <w:pStyle w:val="BodyText"/>
      </w:pPr>
      <ns5:oMathPara>
        <ns5:oMathParaPr>
          <ns5:jc ns5:val="center"/>
        </ns5:oMathParaPr>
        <ns5:oMath>
          <ns5:r>
            <ns5:t>t</ns5:t>
          </ns5:r>
          <ns5:r>
            <ns5:rPr>
              <ns5:sty ns5:val="p"/>
            </ns5:rPr>
            <ns5:t>=</ns5:t>
          </ns5:r>
          <ns5:f>
            <ns5:fPr>
              <ns5:type ns5:val="bar"/>
            </ns5:fPr>
            <ns5:num>
              <ns5:sSub>
                <ns5:e>
                  <ns5:r>
                    <ns5:t>b</ns5:t>
                  </ns5:r>
                </ns5:e>
                <ns5:sub>
                  <ns5:r>
                    <ns5:t>1</ns5:t>
                  </ns5:r>
                </ns5:sub>
              </ns5:sSub>
            </ns5:num>
            <ns5:den>
              <ns5:r>
                <ns5:t>S</ns5:t>
              </ns5:r>
              <ns5:r>
                <ns5:t>E</ns5:t>
              </ns5:r>
              <ns5:d>
                <ns5:dPr>
                  <ns5:begChr ns5:val="("/>
                  <ns5:sepChr ns5:val=""/>
                  <ns5:endChr ns5:val=")"/>
                  <ns5:grow/>
                </ns5:dPr>
                <ns5:e>
                  <ns5:sSub>
                    <ns5:e>
                      <ns5:r>
                        <ns5:t>b</ns5:t>
                      </ns5:r>
                    </ns5:e>
                    <ns5:sub>
                      <ns5:r>
                        <ns5:t>1</ns5:t>
                      </ns5:r>
                    </ns5:sub>
                  </ns5:sSub>
                </ns5:e>
              </ns5:d>
            </ns5:den>
          </ns5:f>
          <ns5:r>
            <ns5:rPr>
              <ns5:sty ns5:val="p"/>
            </ns5:rPr>
            <ns5:t>,</ns5:t>
          </ns5:r>
          <ns5:r>
            <ns5:t>  </ns5:t>
          </ns5:r>
          <ns5:r>
            <ns5:t>d</ns5:t>
          </ns5:r>
          <ns5:r>
            <ns5:t>f</ns5:t>
          </ns5:r>
          <ns5:r>
            <ns5:rPr>
              <ns5:sty ns5:val="p"/>
            </ns5:rPr>
            <ns5:t>=</ns5:t>
          </ns5:r>
          <ns5:r>
            <ns5:t>n</ns5:t>
          </ns5:r>
          <ns5:r>
            <ns5:rPr>
              <ns5:sty ns5:val="p"/>
            </ns5:rPr>
            <ns5:t>−</ns5:t>
          </ns5:r>
          <ns5:r>
            <ns5:t>2</ns5:t>
          </ns5:r>
          <ns5:r>
            <ns5:rPr>
              <ns5:sty ns5:val="p"/>
            </ns5:rPr>
            <ns5:t>,</ns5:t>
          </ns5:r>
        </ns5:oMath>
      </ns5:oMathPara>
    </w:p>
    <w:p>
      <w:pPr>
        <w:pStyle w:val="FirstParagraph"/>
      </w:pPr>
      <ns5:oMathPara>
        <ns5:oMathParaPr>
          <ns5:jc ns5:val="center"/>
        </ns5:oMathParaPr>
        <ns5:oMath>
          <ns5:sSub>
            <ns5:e>
              <ns5:r>
                <ns5:t>b</ns5:t>
              </ns5:r>
            </ns5:e>
            <ns5:sub>
              <ns5:r>
                <ns5:t>1</ns5:t>
              </ns5:r>
            </ns5:sub>
          </ns5:sSub>
          <ns5:r>
            <ns5:rPr>
              <ns5:sty ns5:val="p"/>
            </ns5:rPr>
            <ns5:t>±</ns5:t>
          </ns5:r>
          <ns5:sSub>
            <ns5:e>
              <ns5:r>
                <ns5:t>t</ns5:t>
              </ns5:r>
            </ns5:e>
            <ns5:sub>
              <ns5:r>
                <ns5:t>1</ns5:t>
              </ns5:r>
              <ns5:r>
                <ns5:rPr>
                  <ns5:sty ns5:val="p"/>
                </ns5:rPr>
                <ns5:t>−</ns5:t>
              </ns5:r>
              <ns5:r>
                <ns5:t>α</ns5:t>
              </ns5:r>
              <ns5:r>
                <ns5:rPr>
                  <ns5:sty ns5:val="p"/>
                </ns5:rPr>
                <ns5:t>/</ns5:t>
              </ns5:r>
              <ns5:r>
                <ns5:t>2</ns5:t>
              </ns5:r>
              <ns5:r>
                <ns5:rPr>
                  <ns5:sty ns5:val="p"/>
                </ns5:rPr>
                <ns5:t>,</ns5:t>
              </ns5:r>
              <ns5:r>
                <ns5:t> </ns5:t>
              </ns5:r>
              <ns5:r>
                <ns5:t>n</ns5:t>
              </ns5:r>
              <ns5:r>
                <ns5:rPr>
                  <ns5:sty ns5:val="p"/>
                </ns5:rPr>
                <ns5:t>−</ns5:t>
              </ns5:r>
              <ns5:r>
                <ns5:t>2</ns5:t>
              </ns5:r>
            </ns5:sub>
          </ns5:sSub>
          <ns5:r>
            <ns5:t>S</ns5:t>
          </ns5:r>
          <ns5:r>
            <ns5:t>E</ns5:t>
          </ns5:r>
          <ns5:d>
            <ns5:dPr>
              <ns5:begChr ns5:val="("/>
              <ns5:sepChr ns5:val=""/>
              <ns5:endChr ns5:val=")"/>
              <ns5:grow/>
            </ns5:dPr>
            <ns5:e>
              <ns5:sSub>
                <ns5:e>
                  <ns5:r>
                    <ns5:t>b</ns5:t>
                  </ns5:r>
                </ns5:e>
                <ns5:sub>
                  <ns5:r>
                    <ns5:t>1</ns5:t>
                  </ns5:r>
                </ns5:sub>
              </ns5:sSub>
            </ns5:e>
          </ns5:d>
          <ns5:r>
            <ns5:rPr>
              <ns5:sty ns5:val="p"/>
            </ns5:rPr>
            <ns5:t>.</ns5:t>
          </ns5:r>
        </ns5:oMath>
      </ns5:oMathPara>
    </w:p>
    <w:p>
      <w:pPr>
        <w:pStyle w:val="FirstParagraph"/>
      </w:pPr>
      <w:r>
        <w:t xml:space="preserve">Nëse intervali përkatës e përjashton zeron, testi përkatës i dyanshëm e hedh poshtë hipotezën zero të pjerrësisë së barabartë me zero. Përfshirja e zeros do të thotë se hipoteza zero nuk hidhet poshtë, jo se pjerrësia e popullatës është vërtetuar se është saktësisht zero.</w:t>
      </w:r>
    </w:p>
    <w:p>
      <w:pPr>
        <w:pStyle w:val="BodyText"/>
      </w:pPr>
      <w:r>
        <w:t xml:space="preserve">Tabela e modelit i pjesëton shumat e katrorëve të modelit dhe të gabimit me shkallët e tyre të lirisë:</w:t>
      </w:r>
    </w:p>
    <w:p>
      <w:pPr>
        <w:pStyle w:val="BodyText"/>
      </w:pPr>
      <ns5:oMathPara>
        <ns5:oMathParaPr>
          <ns5:jc ns5:val="center"/>
        </ns5:oMathParaPr>
        <ns5:oMath>
          <ns5:r>
            <ns5:t>F</ns5:t>
          </ns5:r>
          <ns5:r>
            <ns5:rPr>
              <ns5:sty ns5:val="p"/>
            </ns5:rPr>
            <ns5:t>=</ns5:t>
          </ns5:r>
          <ns5:f>
            <ns5:fPr>
              <ns5:type ns5:val="bar"/>
            </ns5:fPr>
            <ns5:num>
              <ns5:r>
                <ns5:t>M</ns5:t>
              </ns5:r>
              <ns5:sSub>
                <ns5:e>
                  <ns5:r>
                    <ns5:t>S</ns5:t>
                  </ns5:r>
                </ns5:e>
                <ns5:sub>
                  <ns5:r>
                    <ns5:rPr>
                      <ns5:nor/>
                      <ns5:sty ns5:val="p"/>
                    </ns5:rPr>
                    <ns5:t>model</ns5:t>
                  </ns5:r>
                </ns5:sub>
              </ns5:sSub>
            </ns5:num>
            <ns5:den>
              <ns5:r>
                <ns5:t>M</ns5:t>
              </ns5:r>
              <ns5:sSub>
                <ns5:e>
                  <ns5:r>
                    <ns5:t>S</ns5:t>
                  </ns5:r>
                </ns5:e>
                <ns5:sub>
                  <ns5:r>
                    <ns5:rPr>
                      <ns5:nor/>
                      <ns5:sty ns5:val="p"/>
                    </ns5:rPr>
                    <ns5:t>error</ns5:t>
                  </ns5:r>
                </ns5:sub>
              </ns5:sSub>
            </ns5:den>
          </ns5:f>
          <ns5:r>
            <ns5:rPr>
              <ns5:sty ns5:val="p"/>
            </ns5:rPr>
            <ns5:t>.</ns5:t>
          </ns5:r>
        </ns5:oMath>
      </ns5:oMathPara>
    </w:p>
    <w:p>
      <w:pPr>
        <w:pStyle w:val="FirstParagraph"/>
      </w:pPr>
      <w:r>
        <w:t xml:space="preserve">Me një ndryshore parashikuese, testi i përgjithshëm i modelit dhe testi i dyanshëm i pjerrësisë bëjnë të njëjtën pyetje zero. Prandaj, nën të njëjtin model,</w:t>
      </w:r>
      <w:r>
        <w:t xml:space="preserve"> </w:t>
      </w:r>
      <ns5:oMath>
        <ns5:r>
          <ns5:t>F</ns5:t>
        </ns5:r>
        <ns5:r>
          <ns5:rPr>
            <ns5:sty ns5:val="p"/>
          </ns5:rPr>
          <ns5:t>=</ns5:t>
        </ns5:r>
        <ns5:sSup>
          <ns5:e>
            <ns5:r>
              <ns5:t>t</ns5:t>
            </ns5:r>
          </ns5:e>
          <ns5:sup>
            <ns5:r>
              <ns5:t>2</ns5:t>
            </ns5:r>
          </ns5:sup>
        </ns5:sSup>
      </ns5:oMath>
      <w:r>
        <w:t xml:space="preserve"> </w:t>
      </w:r>
      <w:r>
        <w:t xml:space="preserve">dhe vlerat e tyre p përputhen.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3333"/>
        <w:gridCol w:w="3143"/>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Pyetja e parashikimit</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Kuptimi</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Kujdesi i nevojshëm</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Vlera e përshtatur te</w:t>
            </w:r>
            <w:r>
              <w:rPr>
                <w:sz w:val="20"/>
                <w:szCs w:val="20"/>
              </w:rPr>
              <w:t xml:space="preserve"> </w:t>
            </w:r>
            <ns5:oMath>
              <ns5:sSub>
                <ns5:e>
                  <ns5:r>
                    <ns5:t>x</ns5:t>
                  </ns5:r>
                </ns5:e>
                <ns5:sub>
                  <ns5:r>
                    <ns5:t>0</ns5:t>
                  </ns5:r>
                </ns5:sub>
              </ns5:sSub>
            </ns5:oMath>
          </w:p>
        </w:tc>
        <w:tc>
          <w:tcPr>
            <w:tcW w:w="3333" w:type="dxa"/>
            <w:shd w:fill="F3F7F9"/>
            <w:vAlign w:val="top"/>
          </w:tcPr>
          <w:p>
            <w:pPr>
              <w:pStyle w:val="Compact"/>
              <w:keepLines/>
              <w:widowControl/>
              <w:spacing w:before="0" w:after="40" w:line="240" w:lineRule="auto"/>
              <w:jc w:val="left"/>
            </w:pPr>
            <w:r>
              <w:rPr>
                <w:sz w:val="20"/>
                <w:szCs w:val="20"/>
              </w:rPr>
              <w:t xml:space="preserve">Mesatarja e kushtëzuar e vlerësuar</w:t>
            </w:r>
            <w:r>
              <w:rPr>
                <w:sz w:val="20"/>
                <w:szCs w:val="20"/>
              </w:rPr>
              <w:t xml:space="preserve"> </w:t>
            </w:r>
            <ns5:oMath>
              <ns5:acc>
                <ns5:accPr>
                  <ns5:chr ns5:val="̂"/>
                </ns5:accPr>
                <ns5:e>
                  <ns5:r>
                    <ns5:t>y</ns5:t>
                  </ns5:r>
                </ns5:e>
              </ns5:acc>
              <ns5:r>
                <ns5:rPr>
                  <ns5:sty ns5:val="p"/>
                </ns5:rPr>
                <ns5:t>=</ns5:t>
              </ns5:r>
              <ns5:sSub>
                <ns5:e>
                  <ns5:r>
                    <ns5:t>b</ns5:t>
                  </ns5:r>
                </ns5:e>
                <ns5:sub>
                  <ns5:r>
                    <ns5:t>0</ns5:t>
                  </ns5:r>
                </ns5:sub>
              </ns5:sSub>
              <ns5:r>
                <ns5:rPr>
                  <ns5:sty ns5:val="p"/>
                </ns5:rPr>
                <ns5:t>+</ns5:t>
              </ns5:r>
              <ns5:sSub>
                <ns5:e>
                  <ns5:r>
                    <ns5:t>b</ns5:t>
                  </ns5:r>
                </ns5:e>
                <ns5:sub>
                  <ns5:r>
                    <ns5:t>1</ns5:t>
                  </ns5:r>
                </ns5:sub>
              </ns5:sSub>
              <ns5:sSub>
                <ns5:e>
                  <ns5:r>
                    <ns5:t>x</ns5:t>
                  </ns5:r>
                </ns5:e>
                <ns5:sub>
                  <ns5:r>
                    <ns5:t>0</ns5:t>
                  </ns5:r>
                </ns5:sub>
              </ns5:sSub>
            </ns5:oMath>
          </w:p>
        </w:tc>
        <w:tc>
          <w:tcPr>
            <w:tcW w:w="3143" w:type="dxa"/>
            <w:shd w:fill="F3F7F9"/>
            <w:vAlign w:val="top"/>
          </w:tcPr>
          <w:p>
            <w:pPr>
              <w:pStyle w:val="Compact"/>
              <w:keepLines/>
              <w:widowControl/>
              <w:spacing w:before="0" w:after="40" w:line="240" w:lineRule="auto"/>
              <w:jc w:val="left"/>
            </w:pPr>
            <w:r>
              <w:rPr>
                <w:sz w:val="20"/>
                <w:szCs w:val="20"/>
              </w:rPr>
              <w:t xml:space="preserve">Nuk është rezultat i garantuar për një rast</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Interpolimi</w:t>
            </w:r>
          </w:p>
        </w:tc>
        <w:tc>
          <w:tcPr>
            <w:tcW w:w="3333" w:type="dxa"/>
            <w:shd w:fill="FFFFFF"/>
            <w:vAlign w:val="top"/>
          </w:tcPr>
          <w:p>
            <w:pPr>
              <w:pStyle w:val="Compact"/>
              <w:keepLines/>
              <w:widowControl/>
              <w:spacing w:before="0" w:after="40" w:line="240" w:lineRule="auto"/>
              <w:jc w:val="left"/>
            </w:pPr>
            <ns5:oMath>
              <ns5:sSub>
                <ns5:e>
                  <ns5:r>
                    <ns5:t>x</ns5:t>
                  </ns5:r>
                </ns5:e>
                <ns5:sub>
                  <ns5:r>
                    <ns5:t>0</ns5:t>
                  </ns5:r>
                </ns5:sub>
              </ns5:sSub>
            </ns5:oMath>
            <w:r>
              <w:rPr>
                <w:sz w:val="20"/>
                <w:szCs w:val="20"/>
              </w:rPr>
              <w:t xml:space="preserve"> </w:t>
            </w:r>
            <w:r>
              <w:rPr>
                <w:sz w:val="20"/>
                <w:szCs w:val="20"/>
              </w:rPr>
              <w:t xml:space="preserve">gjendet brenda diapazonit të vrojtuar të ndryshores parashikuese</w:t>
            </w:r>
          </w:p>
        </w:tc>
        <w:tc>
          <w:tcPr>
            <w:tcW w:w="3143" w:type="dxa"/>
            <w:shd w:fill="FFFFFF"/>
            <w:vAlign w:val="top"/>
          </w:tcPr>
          <w:p>
            <w:pPr>
              <w:pStyle w:val="Compact"/>
              <w:keepLines/>
              <w:widowControl/>
              <w:spacing w:before="0" w:after="40" w:line="240" w:lineRule="auto"/>
              <w:jc w:val="left"/>
            </w:pPr>
            <w:r>
              <w:rPr>
                <w:sz w:val="20"/>
                <w:szCs w:val="20"/>
              </w:rPr>
              <w:t xml:space="preserve">Forma e modelit dhe diagnostika vazhdojnë të kenë rëndësi</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Ekstrapolimi</w:t>
            </w:r>
          </w:p>
        </w:tc>
        <w:tc>
          <w:tcPr>
            <w:tcW w:w="3333" w:type="dxa"/>
            <w:shd w:fill="F3F7F9"/>
            <w:vAlign w:val="top"/>
          </w:tcPr>
          <w:p>
            <w:pPr>
              <w:pStyle w:val="Compact"/>
              <w:keepLines/>
              <w:widowControl/>
              <w:spacing w:before="0" w:after="40" w:line="240" w:lineRule="auto"/>
              <w:jc w:val="left"/>
            </w:pPr>
            <ns5:oMath>
              <ns5:sSub>
                <ns5:e>
                  <ns5:r>
                    <ns5:t>x</ns5:t>
                  </ns5:r>
                </ns5:e>
                <ns5:sub>
                  <ns5:r>
                    <ns5:t>0</ns5:t>
                  </ns5:r>
                </ns5:sub>
              </ns5:sSub>
            </ns5:oMath>
            <w:r>
              <w:rPr>
                <w:sz w:val="20"/>
                <w:szCs w:val="20"/>
              </w:rPr>
              <w:t xml:space="preserve"> </w:t>
            </w:r>
            <w:r>
              <w:rPr>
                <w:sz w:val="20"/>
                <w:szCs w:val="20"/>
              </w:rPr>
              <w:t xml:space="preserve">gjendet jashtë diapazonit të vrojtuar të ndryshores parashikuese</w:t>
            </w:r>
          </w:p>
        </w:tc>
        <w:tc>
          <w:tcPr>
            <w:tcW w:w="3143" w:type="dxa"/>
            <w:shd w:fill="F3F7F9"/>
            <w:vAlign w:val="top"/>
          </w:tcPr>
          <w:p>
            <w:pPr>
              <w:pStyle w:val="Compact"/>
              <w:keepLines/>
              <w:widowControl/>
              <w:spacing w:before="0" w:after="40" w:line="240" w:lineRule="auto"/>
              <w:jc w:val="left"/>
            </w:pPr>
            <w:r>
              <w:rPr>
                <w:sz w:val="20"/>
                <w:szCs w:val="20"/>
              </w:rPr>
              <w:t xml:space="preserve">Marrëdhënia mund të jetë ndryshe atje ku nuk u vrojtuan të dhëna</w:t>
            </w:r>
          </w:p>
        </w:tc>
      </w:tr>
    </w:tbl>
    <w:p>
      <w:pPr>
        <w:pStyle w:val="BodyText"/>
      </w:pPr>
      <w:r>
        <w:t xml:space="preserve">Cilësia e matjes i përket interpretimit. Sipas modelit klasik të gabimit në matjen e ndryshores parashikuese, të zhvilluar në materialin e dhënë, zhurma në</w:t>
      </w:r>
      <w:r>
        <w:t xml:space="preserve"> </w:t>
      </w:r>
      <ns5:oMath>
        <ns5:r>
          <ns5:t>X</ns5:t>
        </ns5:r>
      </ns5:oMath>
      <w:r>
        <w:t xml:space="preserve"> </w:t>
      </w:r>
      <w:r>
        <w:t xml:space="preserve">zakonisht e tërheq pjerrësinë e regresionit të thjeshtë drejt zeros. Ky dobësim mund ta bëjë një marrëdhënie themelore të duket më e dobët. Ai nuk nënkupton se çdo proces i mundshëm i gabimit në matje krijon të njëjtën anshmëri.</w:t>
      </w:r>
    </w:p>
    <w:bookmarkEnd w:id="30"/>
    <w:bookmarkStart w:id="35" w:name="si-lexohet-figura-shpjeguese"/>
    <w:p>
      <w:pPr>
        <w:pStyle w:val="Heading2"/>
      </w:pPr>
      <w:r>
        <w:t xml:space="preserve">Si lexohet figura shpjeguese</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4" w:name="fig-summary-t05"/>
          <w:p>
            <w:pPr>
              <w:pStyle w:val="Compact"/>
              <w:keepNext/>
              <w:jc w:val="center"/>
            </w:pPr>
            <w:r>
              <w:drawing>
                <ns1:inline>
                  <ns1:extent cx="5561584" cy="3283344"/>
                  <ns1:effectExtent b="0" l="0" r="0" t="0"/>
                  <ns1:docPr descr="Diagram shpërndarjeje i orëve të praktikës së udhëzuar dhe pikëzimeve të arsyetimit statistikor, me një vijë të përshtatur në rritje dhe një segment vertikal portokalli të rezidualit." title="Figura 1" id="32" name="Picture"/>
                  <ns2:graphic>
                    <ns2:graphicData uri="http://schemas.openxmlformats.org/drawingml/2006/picture">
                      <ns3:pic>
                        <ns3:nvPicPr>
                          <ns3:cNvPr descr="assets/topic-05-simple-linear-regression-summary-figure-sq.png" id="33" name="Picture"/>
                          <ns3:cNvPicPr>
                            <ns2:picLocks noChangeArrowheads="1" noChangeAspect="1"/>
                          </ns3:cNvPicPr>
                        </ns3:nvPicPr>
                        <ns3:blipFill>
                          <ns2:blip ns4:embed="rId31"/>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Figura 1: Diagram shpërndarjeje i orëve të praktikës së udhëzuar dhe pikëzimeve të arsyetimit statistikor, me një vijë të përshtatur në rritje dhe një segment vertikal portokalli të rezidualit.</w:t>
            </w:r>
          </w:p>
          <w:bookmarkEnd w:id="34"/>
        </w:tc>
      </w:tr>
    </w:tbl>
    <w:p>
      <w:pPr>
        <w:pStyle w:val="BodyText"/>
      </w:pPr>
      <w:r>
        <w:t xml:space="preserve">Boshti horizontal jep orët javore të praktikës së udhëzuar, ndërsa boshti vertikal jep pikëzimet e arsyetimit statistikor. Çdo pikë blu është një rast i simuluar. Vija e errët ngrihet, prandaj në këtë grup të dhënash pikëzimi mesatar i përshtatur është më i lartë te vlerat më të mëdha të praktikës. Vija përshkruan modelin mesatar të modeluar. Pikat individuale mbeten të shpërndara sipër dhe poshtë saj, duke të kujtuar se informacioni parashikues nuk e përcakton rezultatin e çdo personi.</w:t>
      </w:r>
    </w:p>
    <w:p>
      <w:pPr>
        <w:pStyle w:val="BodyText"/>
      </w:pPr>
      <w:r>
        <w:t xml:space="preserve">Afërsisht te nëntë orë praktikë, rrethi bosh shënon pikëzimin e përshtatur mbi vijë. Pika e vrojtuar për atë rast është më lart. Segmenti vertikal portokalli është reziduali: pikëzimi i vrojtuar minus pikëzimin e përshtatur. Drejtimi i tij është pozitiv dhe gjatësia matet në pikë të pikëzimit. Katrorët më të vegjël e bëjnë këtë krahasim për çdo pikë dhe zgjedhin vijën me shumën më të vogël të gjatësive të rezidualeve të ngritura në katror.</w:t>
      </w:r>
    </w:p>
    <w:p>
      <w:pPr>
        <w:pStyle w:val="BodyText"/>
      </w:pPr>
      <w:r>
        <w:t xml:space="preserve">Grafiku mbështet një pohim për lidhjen lineare në të dhënat e simuluara. Ai nuk tregon se praktika shtesë shkaktoi pikëzime më të larta. Përgatitja paraprake, përzgjedhja, formati i ushtrimeve ose ndryshore të tjera mund të lidhen me të dyja. Ai gjithashtu nuk tregon nëse supozimet për rezidualet qëndrojnë; duhen grafikë diagnostikues të veçantë për lakimin, ndryshimin e variancës, rezidualet e pazakonta dhe ndikimin.</w:t>
      </w:r>
    </w:p>
    <w:bookmarkEnd w:id="35"/>
    <w:bookmarkStart w:id="36" w:name="lista-e-kontrollit-për-interpretim"/>
    <w:p>
      <w:pPr>
        <w:pStyle w:val="Heading2"/>
      </w:pPr>
      <w:r>
        <w:t xml:space="preserve">Lista e kontrollit për interpretim</w:t>
      </w:r>
    </w:p>
    <w:p>
      <w:pPr>
        <w:pStyle w:val="FirstParagraph"/>
      </w:pPr>
      <w:r>
        <w:t xml:space="preserve">Emërto ndryshoren e rezultatit dhe ndryshoren parashikuese dhe trego njësitë e tyre. Shqyrto shpërndarjet dhe diagramin e shpërndarjes. Sigurohu se një përmbledhje në vijë të drejtë është e përshtatshme nëpër diapazonin e vrojtuar. Raporto ekuacionin e përshtatur dhe ktheje pjerrësinë në një fjali të plotë që përmban të dyja njësitë. Interpreto konstantën vetëm nëse vlera e saj referuese ka kuptim. Raporto</w:t>
      </w:r>
      <w:r>
        <w:t xml:space="preserve"> </w:t>
      </w:r>
      <ns5:oMath>
        <ns5:sSup>
          <ns5:e>
            <ns5:r>
              <ns5:t>R</ns5:t>
            </ns5:r>
          </ns5:e>
          <ns5:sup>
            <ns5:r>
              <ns5:t>2</ns5:t>
            </ns5:r>
          </ns5:sup>
        </ns5:sSup>
      </ns5:oMath>
      <w:r>
        <w:t xml:space="preserve"> </w:t>
      </w:r>
      <w:r>
        <w:t xml:space="preserve">si ndryshueshmëri të kampionit që përfaqësohet nga modeli, jo si përqindje shkakore.</w:t>
      </w:r>
    </w:p>
    <w:p>
      <w:pPr>
        <w:pStyle w:val="BodyText"/>
      </w:pPr>
      <w:r>
        <w:t xml:space="preserve">Shqyrto diagnostikën e rezidualeve dhe ndikimit para se të mbështetesh te inferenca. Raporto vlerësimin e pjerrësisë, gabimin standard, intervalin e besimit, statistikën e testit, shkallët e lirisë dhe vlerën p kur janë të rëndësishme. Dallo një mesatare të kushtëzuar të vlerësuar nga një rezultat individual i garantuar dhe identifiko ekstrapolimin. Përshkruaji rezultatet e simuluara si të simuluara dhe mbaje gjuhën e lidhjes të ndarë nga gjuha shkakore.</w:t>
      </w:r>
    </w:p>
    <w:bookmarkEnd w:id="36"/>
    <w:bookmarkStart w:id="37" w:name="si-lidhet-kjo-temë-me-të-tjerat"/>
    <w:p>
      <w:pPr>
        <w:pStyle w:val="Heading2"/>
      </w:pPr>
      <w:r>
        <w:t xml:space="preserve">Si lidhet kjo temë me të tjerat</w:t>
      </w:r>
    </w:p>
    <w:p>
      <w:pPr>
        <w:pStyle w:val="FirstParagraph"/>
      </w:pPr>
      <w:r>
        <w:t xml:space="preserve">Ky model e bën konkrete lidhjen me kovariancën dhe korrelacionin. Kovarianca siguron numëruesin e pjerrësisë, varianca e ndryshores parashikuese siguron emëruesin dhe korrelacioni e standardizon të njëjtën përputhje lineare. Regresioni shton drejtim dhe njësi: ai pyet si ndryshon mesatarja e përshtatur e një rezultati të zgjedhur nëpër vlerat e ndryshores parashikuese.</w:t>
      </w:r>
    </w:p>
    <w:p>
      <w:pPr>
        <w:pStyle w:val="BodyText"/>
      </w:pPr>
      <w:r>
        <w:t xml:space="preserve">Hapat vijues trajtojnë një kufizim qendror të vijës me një ndryshore parashikuese. Një ndryshore e tretë mund të shpjegojë një pjesë të lidhjes së vrojtuar. Korrelacioni i pjesshëm i heq nga të dyja ndryshoret qendrore përbërësit linearë që lidhen me atë ndryshore të tretë dhe korrelon pjesët që mbeten. Regresioni i shumëfishtë vendos disa ndryshore parashikuese në një model, kështu që secili koeficient përshkruan një lidhje të kushtëzuar ndërsa të tjerat mbahen të pandryshuara. Ideja e rezidualit e paraqitur këtu bëhet gjuha e përbashkët për të dyja zgjerimet.</w:t>
      </w:r>
    </w:p>
    <w:p>
      <w:pPr>
        <w:pBdr>
          <w:bottom w:val="single" w:sz="4" w:space="6" w:color="B8C6CF"/>
        </w:pBdr>
        <w:spacing w:before="60" w:after="100"/>
      </w:pPr>
    </w:p>
    <w:p>
      <w:pPr>
        <w:pStyle w:val="FirstParagraph"/>
      </w:pPr>
      <w:r>
        <w:rPr>
          <w:i/>
          <w:iCs/>
        </w:rPr>
        <w:t xml:space="preserve">ID-ja e dokumentit:</w:t>
      </w:r>
      <w:r>
        <w:rPr>
          <w:i/>
          <w:iCs/>
        </w:rPr>
        <w:t xml:space="preserve"> </w:t>
      </w:r>
      <w:r>
        <w:rPr>
          <w:rStyle w:val="VerbatimChar"/>
          <w:i/>
          <w:iCs/>
        </w:rPr>
        <w:t xml:space="preserve">topic-05-simple-linear-regression-summary-sq</w:t>
      </w:r>
    </w:p>
    <w:p>
      <w:r>
        <w:br w:type="page"/>
      </w:r>
    </w:p>
    <w:p>
      <w:pPr>
        <w:pStyle w:val="Heading1"/>
      </w:pPr>
      <w:r>
        <w:t>Shënime 1 nga 3</w:t>
      </w:r>
    </w:p>
    <w:p>
      <w:r>
        <w:rPr>
          <w:color w:val="526A79"/>
          <w:sz w:val="18"/>
          <w:szCs w:val="18"/>
        </w:rPr>
        <w:t>Regresioni i thjeshtë linear | Tema 5</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Shënime 2 nga 3</w:t>
      </w:r>
    </w:p>
    <w:p>
      <w:r>
        <w:rPr>
          <w:color w:val="526A79"/>
          <w:sz w:val="18"/>
          <w:szCs w:val="18"/>
        </w:rPr>
        <w:t>Regresioni i thjeshtë linear | Tema 5</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Shënime 3 nga 3</w:t>
      </w:r>
    </w:p>
    <w:p>
      <w:r>
        <w:rPr>
          <w:color w:val="526A79"/>
          <w:sz w:val="18"/>
          <w:szCs w:val="18"/>
        </w:rPr>
        <w:t>Regresioni i thjeshtë linear | Tema 5</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7"/>
    <w:bookmarkEnd w:id="38"/>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abstractNum w:abstractNumId="991">
    <w:nsid w:val="0000A991"/>
    <w:multiLevelType w:val="multilevel"/>
    <w:lvl w:ilvl="0">
      <w:numFmt w:val="bullet"/>
      <w:lvlText w:val="•"/>
      <w:lvlJc w:val="left"/>
      <w:pPr>
        <w:ind w:left="720" w:hanging="360"/>
      </w:pPr>
      <w:rPr>
        <w:rFonts w:ascii="Arial" w:hAnsi="Arial" w:cs="Arial" w:hint="default"/>
      </w:rPr>
    </w:lvl>
    <w:lvl w:ilvl="1">
      <w:numFmt w:val="bullet"/>
      <w:lvlText w:val="•"/>
      <w:lvlJc w:val="left"/>
      <w:pPr>
        <w:ind w:left="1440" w:hanging="360"/>
      </w:pPr>
      <w:rPr>
        <w:rFonts w:ascii="Arial" w:hAnsi="Arial" w:cs="Arial" w:hint="default"/>
      </w:rPr>
    </w:lvl>
    <w:lvl w:ilvl="2">
      <w:numFmt w:val="bullet"/>
      <w:lvlText w:val="•"/>
      <w:lvlJc w:val="left"/>
      <w:pPr>
        <w:ind w:left="2160" w:hanging="360"/>
      </w:pPr>
      <w:rPr>
        <w:rFonts w:ascii="Arial" w:hAnsi="Arial" w:cs="Arial" w:hint="default"/>
      </w:rPr>
    </w:lvl>
    <w:lvl w:ilvl="3">
      <w:numFmt w:val="bullet"/>
      <w:lvlText w:val="•"/>
      <w:lvlJc w:val="left"/>
      <w:pPr>
        <w:ind w:left="2880" w:hanging="360"/>
      </w:pPr>
      <w:rPr>
        <w:rFonts w:ascii="Arial" w:hAnsi="Arial" w:cs="Arial" w:hint="default"/>
      </w:rPr>
    </w:lvl>
    <w:lvl w:ilvl="4">
      <w:numFmt w:val="bullet"/>
      <w:lvlText w:val="•"/>
      <w:lvlJc w:val="left"/>
      <w:pPr>
        <w:ind w:left="3600" w:hanging="360"/>
      </w:pPr>
      <w:rPr>
        <w:rFonts w:ascii="Arial" w:hAnsi="Arial" w:cs="Arial" w:hint="default"/>
      </w:rPr>
    </w:lvl>
    <w:lvl w:ilvl="5">
      <w:numFmt w:val="bullet"/>
      <w:lvlText w:val="•"/>
      <w:lvlJc w:val="left"/>
      <w:pPr>
        <w:ind w:left="4320" w:hanging="360"/>
      </w:pPr>
      <w:rPr>
        <w:rFonts w:ascii="Arial" w:hAnsi="Arial" w:cs="Arial" w:hint="default"/>
      </w:rPr>
    </w:lvl>
    <w:lvl w:ilvl="6">
      <w:numFmt w:val="bullet"/>
      <w:lvlText w:val="•"/>
      <w:lvlJc w:val="left"/>
      <w:pPr>
        <w:ind w:left="5040" w:hanging="360"/>
      </w:pPr>
      <w:rPr>
        <w:rFonts w:ascii="Arial" w:hAnsi="Arial" w:cs="Arial" w:hint="default"/>
      </w:rPr>
    </w:lvl>
    <w:lvl w:ilvl="7">
      <w:numFmt w:val="bullet"/>
      <w:lvlText w:val="•"/>
      <w:lvlJc w:val="left"/>
      <w:pPr>
        <w:ind w:left="5760" w:hanging="360"/>
      </w:pPr>
      <w:rPr>
        <w:rFonts w:ascii="Arial" w:hAnsi="Arial" w:cs="Arial" w:hint="default"/>
      </w:rPr>
    </w:lvl>
    <w:lvl w:ilvl="8">
      <w:numFmt w:val="bullet"/>
      <w:lvlText w:val="•"/>
      <w:lvlJc w:val="left"/>
      <w:pPr>
        <w:ind w:left="6480" w:hanging="360"/>
      </w:pPr>
      <w:rPr>
        <w:rFonts w:ascii="Arial" w:hAnsi="Arial" w:cs="Arial" w:hint="default"/>
      </w:rPr>
    </w:lvl>
  </w:abstractNum>
  <w:num w:numId="1000">
    <w:abstractNumId w:val="990"/>
  </w:num>
  <w:num w:numId="1001">
    <w:abstractNumId w:val="991"/>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sq-AL" w:eastAsia="sq-AL" w:bidi="sq-AL"/>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sq-AL"/>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Regresioni i thjeshtë linear</dc:title>
  <dc:creator>Ratiomera Statistics</dc:creator>
  <dc:language>sq-AL</dc:language>
  <cp:keywords/>
  <dcterms:created xsi:type="dcterms:W3CDTF">1970-01-01T00:00:00Z</dcterms:created>
  <dcterms:modified xsi:type="dcterms:W3CDTF">1970-01-01T00:00:00Z</dcterms:modified>
  <dc:subject>Përmbledhje teme nga Ratiomera Statistics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Një model i udhëzuar i vlerave të përshtatura, pjerrësive dhe ndryshueshmërisë reziduale</vt:lpwstr>
  </property>
  <property fmtid="{D5CDD505-2E9C-101B-9397-08002B2CF9AE}" pid="13" name="toc-title">
    <vt:lpwstr>Përmbajtja</vt:lpwstr>
  </property>
</Properties>
</file>