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ns1="http://schemas.openxmlformats.org/drawingml/2006/wordprocessingDrawing" xmlns:ns2="http://schemas.openxmlformats.org/drawingml/2006/main" xmlns:ns3="http://schemas.openxmlformats.org/drawingml/2006/picture" xmlns:ns4="http://schemas.openxmlformats.org/officeDocument/2006/relationships" xmlns:ns5="http://schemas.openxmlformats.org/officeDocument/2006/math" xmlns:w="http://schemas.openxmlformats.org/wordprocessingml/2006/main">
  <w:body>
    <w:p>
      <w:pPr>
        <w:pStyle w:val="Title"/>
      </w:pPr>
      <w:r>
        <w:t xml:space="preserve">Analiza e variancës</w:t>
      </w:r>
    </w:p>
    <w:p>
      <w:pPr>
        <w:pStyle w:val="Subtitle"/>
      </w:pPr>
      <w:r>
        <w:t xml:space="preserve">Krahasimi i mesatareve të grupeve duke ndarë ndryshueshmërinë e rezultatit</w:t>
      </w:r>
    </w:p>
    <w:p>
      <w:pPr>
        <w:pStyle w:val="Author"/>
      </w:pPr>
      <w:r>
        <w:t xml:space="preserve">Ratiomera Statistics</w:t>
      </w:r>
    </w:p>
    <w:p>
      <w:r>
        <w:br w:type="page"/>
      </w:r>
    </w:p>
    <w:p>
      <w:pPr>
        <w:pStyle w:val="FirstParagraph"/>
      </w:pPr>
      <w:r>
        <w:drawing>
          <ns1:inline>
            <ns1:extent cx="1143000" cy="292100"/>
            <ns1:effectExtent b="0" l="0" r="0" t="0"/>
            <ns1:docPr descr="Ratiomera logo" title="Ratiomera logo" id="21" name="Picture"/>
            <ns2:graphic>
              <ns2:graphicData uri="http://schemas.openxmlformats.org/drawingml/2006/picture">
                <ns3:pic>
                  <ns3:nvPicPr>
                    <ns3:cNvPr descr="assets/sq/ratiomera-summary-logo.png" id="22" name="Picture"/>
                    <ns3:cNvPicPr>
                      <ns2:picLocks noChangeArrowheads="1" noChangeAspect="1"/>
                    </ns3:cNvPicPr>
                  </ns3:nvPicPr>
                  <ns3:blipFill>
                    <ns2:blip ns4:embed="rId20"/>
                    <ns2:stretch>
                      <ns2:fillRect/>
                    </ns2:stretch>
                  </ns3:blipFill>
                  <ns3:spPr bwMode="auto">
                    <ns2:xfrm>
                      <ns2:off x="0" y="0"/>
                      <ns2:ext cx="1143000" cy="292100"/>
                    </ns2:xfrm>
                    <ns2:prstGeom prst="rect">
                      <ns2:avLst/>
                    </ns2:prstGeom>
                    <ns2:noFill/>
                    <ns2:ln w="9525">
                      <ns2:noFill/>
                      <ns2:headEnd/>
                      <ns2:tailEnd/>
                    </ns2:ln>
                  </ns3:spPr>
                </ns3:pic>
              </ns2:graphicData>
            </ns2:graphic>
          </ns1:inline>
        </w:drawing>
      </w:r>
      <w:r>
        <w:br/>
      </w:r>
      <w:r>
        <w:rPr>
          <w:b/>
          <w:bCs/>
        </w:rPr>
        <w:t xml:space="preserve">Hyrje në Statistikë | Tema 8</w:t>
      </w:r>
    </w:p>
    <w:bookmarkStart w:id="29" w:name="përmbledhja-e-faqes-së-kursit"/>
    <w:p>
      <w:pPr>
        <w:pStyle w:val="Heading1"/>
      </w:pPr>
      <w:r>
        <w:t xml:space="preserve">Përmbledhja e faqes së kursit</w:t>
      </w:r>
    </w:p>
    <w:p>
      <w:pPr>
        <w:pStyle w:val="FirstParagraph"/>
      </w:pPr>
      <w:r>
        <w:t xml:space="preserve">Analiza e variancës, ose ANOVA, krahason mesataret e popullatës nëpër nivelet e një ose më shumë faktorëve kategorikë. Testi i saj i përgjithshëm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krahason ndryshueshmërinë që përfaqësohet nga faktori me ndryshueshmërinë që mbetet brenda grupeve të përshtatura.</w:t>
      </w:r>
    </w:p>
    <w:bookmarkStart w:id="24" w:name="anova-njëfaktoriale"/>
    <w:p>
      <w:pPr>
        <w:pStyle w:val="Heading2"/>
      </w:pPr>
      <w:r>
        <w:t xml:space="preserve">ANOVA njëfaktoriale</w:t>
      </w:r>
    </w:p>
    <w:p>
      <w:pPr>
        <w:pStyle w:val="FirstParagraph"/>
      </w:pPr>
      <w:r>
        <w:t xml:space="preserve">Për</w:t>
      </w:r>
      <w:r>
        <w:t xml:space="preserve"> </w:t>
      </w:r>
      <ns5:oMath>
        <ns5:r>
          <ns5:t>p</ns5:t>
        </ns5:r>
      </ns5:oMath>
      <w:r>
        <w:t xml:space="preserve"> </w:t>
      </w:r>
      <w:r>
        <w:t xml:space="preserve">nivele të faktorit,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H</ns5:t>
              </ns5:r>
            </ns5:e>
            <ns5:sub>
              <ns5:r>
                <ns5:t>0</ns5:t>
              </ns5:r>
            </ns5:sub>
          </ns5:sSub>
          <ns5:r>
            <ns5:rPr>
              <ns5:sty ns5:val="p"/>
            </ns5:rPr>
            <ns5:t>:</ns5:t>
          </ns5:r>
          <ns5:sSub>
            <ns5:e>
              <ns5:r>
                <ns5:t>μ</ns5:t>
              </ns5:r>
            </ns5:e>
            <ns5:sub>
              <ns5:r>
                <ns5:t>1</ns5:t>
              </ns5:r>
            </ns5:sub>
          </ns5:sSub>
          <ns5:r>
            <ns5:rPr>
              <ns5:sty ns5:val="p"/>
            </ns5:rPr>
            <ns5:t>=</ns5:t>
          </ns5:r>
          <ns5:r>
            <ns5:rPr>
              <ns5:sty ns5:val="p"/>
            </ns5:rPr>
            <ns5:t>⋯</ns5:t>
          </ns5:r>
          <ns5:r>
            <ns5:rPr>
              <ns5:sty ns5:val="p"/>
            </ns5:rPr>
            <ns5:t>=</ns5:t>
          </ns5:r>
          <ns5:sSub>
            <ns5:e>
              <ns5:r>
                <ns5:t>μ</ns5:t>
              </ns5:r>
            </ns5:e>
            <ns5:sub>
              <ns5:r>
                <ns5:t>p</ns5:t>
              </ns5:r>
            </ns5:sub>
          </ns5:sSub>
          <ns5:r>
            <ns5:rPr>
              <ns5:sty ns5:val="p"/>
            </ns5:rPr>
            <ns5:t>,</ns5:t>
          </ns5:r>
        </ns5:oMath>
      </ns5:oMathPara>
    </w:p>
    <w:p>
      <w:pPr>
        <w:pStyle w:val="FirstParagraph"/>
      </w:pPr>
      <w:r>
        <w:t xml:space="preserve">ndërsa hipoteza alternative thotë se të paktën dy mesatare të popullatës ndryshojnë. Ajo nuk thotë se çdo çift ndryshon.</w:t>
      </w:r>
    </w:p>
    <w:p>
      <w:pPr>
        <w:pStyle w:val="BodyText"/>
      </w:pPr>
      <w:r>
        <w:t xml:space="preserve">Ndryshueshmëria e vëzhguar ndahet saktësisht:</w:t>
      </w:r>
    </w:p>
    <w:p>
      <w:pPr>
        <w:pStyle w:val="BodyText"/>
      </w:pPr>
      <ns5:oMathPara>
        <ns5:oMathParaPr>
          <ns5:jc ns5:val="center"/>
        </ns5:oMathParaPr>
        <ns5:oMath>
          <ns5:r>
            <ns5:t>S</ns5:t>
          </ns5:r>
          <ns5:sSub>
            <ns5:e>
              <ns5:r>
                <ns5:t>S</ns5:t>
              </ns5:r>
            </ns5:e>
            <ns5:sub>
              <ns5:r>
                <ns5:t>t</ns5:t>
              </ns5:r>
              <ns5:r>
                <ns5:t>o</ns5:t>
              </ns5:r>
              <ns5:r>
                <ns5:t>t</ns5:t>
              </ns5:r>
              <ns5:r>
                <ns5:t>a</ns5:t>
              </ns5:r>
              <ns5:r>
                <ns5:t>l</ns5:t>
              </ns5:r>
            </ns5:sub>
          </ns5:sSub>
          <ns5:r>
            <ns5:rPr>
              <ns5:sty ns5:val="p"/>
            </ns5:rPr>
            <ns5:t>=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t>A</ns5:t>
              </ns5:r>
            </ns5:sub>
          </ns5:sSub>
          <ns5:r>
            <ns5:rPr>
              <ns5:sty ns5:val="p"/>
            </ns5:rPr>
            <ns5:t>+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t>e</ns5:t>
              </ns5:r>
            </ns5:sub>
          </ns5:sSub>
          <ns5:r>
            <ns5:rPr>
              <ns5:sty ns5:val="p"/>
            </ns5:rPr>
            <ns5:t>.</ns5:t>
          </ns5:r>
        </ns5:oMath>
      </ns5:oMathPara>
    </w:p>
    <w:bookmarkStart w:id="23" w:name="tbl-summary-anova-table-reading"/>
    <w:p>
      <w:pPr>
        <w:pStyle w:val="TableCaption"/>
        <w:keepNext/>
        <w:keepLines/>
        <w:widowControl/>
        <w:spacing w:before="120" w:after="80"/>
        <w:jc w:val="left"/>
      </w:pPr>
      <w:r>
        <w:t xml:space="preserve">Tabela 1: Rreshtat e faktorit dhe gabimit krahasojnë ndarjen e mesatareve me ndryshueshmërinë brenda grupeve.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1714"/>
        <w:gridCol w:w="2667"/>
        <w:gridCol w:w="2286"/>
        <w:gridCol w:w="2857"/>
      </w:tblGrid>
      <w:tr>
        <w:trPr>
          <w:cantSplit/>
          <w:tblHeader w:val="on"/>
        </w:trPr>
        <w:tc>
          <w:tcPr>
            <w:tcW w:w="1714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Burimi</w:t>
            </w:r>
          </w:p>
        </w:tc>
        <w:tc>
          <w:tcPr>
            <w:tcW w:w="2667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Shkallët e lirisë</w:t>
            </w:r>
          </w:p>
        </w:tc>
        <w:tc>
          <w:tcPr>
            <w:tcW w:w="2286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Katrori mesatar</w:t>
            </w:r>
          </w:p>
        </w:tc>
        <w:tc>
          <w:tcPr>
            <w:tcW w:w="2857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Statistika e testit</w:t>
            </w:r>
          </w:p>
        </w:tc>
      </w:tr>
      <w:tr>
        <w:trPr>
          <w:cantSplit/>
        </w:trPr>
        <w:tc>
          <w:tcPr>
            <w:tcW w:w="171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Faktori A</w:t>
            </w:r>
          </w:p>
        </w:tc>
        <w:tc>
          <w:tcPr>
            <w:tcW w:w="266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r>
                <ns5:t>p</ns5:t>
              </ns5:r>
              <ns5:r>
                <ns5:rPr>
                  <ns5:sty ns5:val="p"/>
                </ns5:rPr>
                <ns5:t>−</ns5:t>
              </ns5:r>
              <ns5:r>
                <ns5:t>1</ns5:t>
              </ns5:r>
            </ns5:oMath>
          </w:p>
        </w:tc>
        <w:tc>
          <w:tcPr>
            <w:tcW w:w="2286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A</ns5:t>
                  </ns5:r>
                </ns5:sub>
              </ns5:sSub>
              <ns5:r>
                <ns5:rPr>
                  <ns5:sty ns5:val="p"/>
                </ns5:rPr>
                <ns5:t>=</ns5:t>
              </ns5:r>
              <ns5:r>
                <ns5:t>S</ns5:t>
              </ns5:r>
              <ns5:sSub>
                <ns5:e>
                  <ns5:r>
                    <ns5:t>S</ns5:t>
                  </ns5:r>
                </ns5:e>
                <ns5:sub>
                  <ns5:r>
                    <ns5:t>A</ns5:t>
                  </ns5:r>
                </ns5:sub>
              </ns5:sSub>
              <ns5:r>
                <ns5:rPr>
                  <ns5:sty ns5:val="p"/>
                </ns5:rPr>
                <ns5:t>/</ns5:t>
              </ns5:r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p</ns5:t>
                  </ns5:r>
                  <ns5:r>
                    <ns5:rPr>
                      <ns5:sty ns5:val="p"/>
                    </ns5:rPr>
                    <ns5:t>−</ns5:t>
                  </ns5:r>
                  <ns5:r>
                    <ns5:t>1</ns5:t>
                  </ns5:r>
                </ns5:e>
              </ns5:d>
            </ns5:oMath>
          </w:p>
        </w:tc>
        <w:tc>
          <w:tcPr>
            <w:tcW w:w="285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r>
                <ns5:t>F</ns5:t>
              </ns5:r>
              <ns5:r>
                <ns5:rPr>
                  <ns5:sty ns5:val="p"/>
                </ns5:rPr>
                <ns5:t>=</ns5:t>
              </ns5:r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A</ns5:t>
                  </ns5:r>
                </ns5:sub>
              </ns5:sSub>
              <ns5:r>
                <ns5:rPr>
                  <ns5:sty ns5:val="p"/>
                </ns5:rPr>
                <ns5:t>/</ns5:t>
              </ns5:r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e</ns5:t>
                  </ns5:r>
                </ns5:sub>
              </ns5:sSub>
            </ns5:oMath>
          </w:p>
        </w:tc>
      </w:tr>
      <w:tr>
        <w:trPr>
          <w:cantSplit/>
        </w:trPr>
        <w:tc>
          <w:tcPr>
            <w:tcW w:w="171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Gabimi</w:t>
            </w:r>
          </w:p>
        </w:tc>
        <w:tc>
          <w:tcPr>
            <w:tcW w:w="2667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r>
                <ns5:t>N</ns5:t>
              </ns5:r>
              <ns5:r>
                <ns5:rPr>
                  <ns5:sty ns5:val="p"/>
                </ns5:rPr>
                <ns5:t>−</ns5:t>
              </ns5:r>
              <ns5:r>
                <ns5:t>p</ns5:t>
              </ns5:r>
            </ns5:oMath>
          </w:p>
        </w:tc>
        <w:tc>
          <w:tcPr>
            <w:tcW w:w="2286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e</ns5:t>
                  </ns5:r>
                </ns5:sub>
              </ns5:sSub>
              <ns5:r>
                <ns5:rPr>
                  <ns5:sty ns5:val="p"/>
                </ns5:rPr>
                <ns5:t>=</ns5:t>
              </ns5:r>
              <ns5:r>
                <ns5:t>S</ns5:t>
              </ns5:r>
              <ns5:sSub>
                <ns5:e>
                  <ns5:r>
                    <ns5:t>S</ns5:t>
                  </ns5:r>
                </ns5:e>
                <ns5:sub>
                  <ns5:r>
                    <ns5:t>e</ns5:t>
                  </ns5:r>
                </ns5:sub>
              </ns5:sSub>
              <ns5:r>
                <ns5:rPr>
                  <ns5:sty ns5:val="p"/>
                </ns5:rPr>
                <ns5:t>/</ns5:t>
              </ns5:r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N</ns5:t>
                  </ns5:r>
                  <ns5:r>
                    <ns5:rPr>
                      <ns5:sty ns5:val="p"/>
                    </ns5:rPr>
                    <ns5:t>−</ns5:t>
                  </ns5:r>
                  <ns5:r>
                    <ns5:t>p</ns5:t>
                  </ns5:r>
                </ns5:e>
              </ns5:d>
            </ns5:oMath>
          </w:p>
        </w:tc>
        <w:tc>
          <w:tcPr>
            <w:tcW w:w="2857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</w:pPr>
          </w:p>
        </w:tc>
      </w:tr>
      <w:tr>
        <w:trPr>
          <w:cantSplit/>
        </w:trPr>
        <w:tc>
          <w:tcPr>
            <w:tcW w:w="171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Totali</w:t>
            </w:r>
          </w:p>
        </w:tc>
        <w:tc>
          <w:tcPr>
            <w:tcW w:w="266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ns5:oMath>
              <ns5:r>
                <ns5:t>N</ns5:t>
              </ns5:r>
              <ns5:r>
                <ns5:rPr>
                  <ns5:sty ns5:val="p"/>
                </ns5:rPr>
                <ns5:t>−</ns5:t>
              </ns5:r>
              <ns5:r>
                <ns5:t>1</ns5:t>
              </ns5:r>
            </ns5:oMath>
          </w:p>
        </w:tc>
        <w:tc>
          <w:tcPr>
            <w:tcW w:w="2286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</w:pPr>
          </w:p>
        </w:tc>
        <w:tc>
          <w:tcPr>
            <w:tcW w:w="285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</w:pPr>
          </w:p>
        </w:tc>
      </w:tr>
    </w:tbl>
    <w:bookmarkEnd w:id="23"/>
    <w:p/>
    <w:p>
      <w:pPr>
        <w:pStyle w:val="BodyText"/>
      </w:pPr>
      <w:r>
        <w:t xml:space="preserve">Pas një rezultati të përgjithshëm domethënës vjen një plan krahasimi që i përshtatet pyetjes. Kontrasti përdor pesha që japin shumën zero. Kontrastet e planifikuara përcaktohen para se të shqyrtohen rezultatet. Familjet post hoc, si të gjitha çiftet Tukey ose krahasimet Dunnett me referencën, e mbrojnë normën e gabimit të llojit I për familjen e tyre të shënuar. Bonferroni nuk kërkon teste të pavarura, megjithëse mund të jetë konservativ.</w:t>
      </w:r>
    </w:p>
    <w:bookmarkEnd w:id="24"/>
    <w:bookmarkStart w:id="25" w:name="kontrollet-e-dizajnit-dhe-modelit"/>
    <w:p>
      <w:pPr>
        <w:pStyle w:val="Heading2"/>
      </w:pPr>
      <w:r>
        <w:t xml:space="preserve">Kontrollet e dizajnit dhe modelit</w:t>
      </w:r>
    </w:p>
    <w:p>
      <w:pPr>
        <w:pStyle w:val="Compact"/>
        <w:numPr>
          <w:ilvl w:val="0"/>
          <w:numId w:val="1001"/>
        </w:numPr>
      </w:pPr>
      <w:r>
        <w:t xml:space="preserve">Struktura me rezultat sasior dhe faktor kategorik duhet të përputhet me pyetjen kërkimore.</w:t>
      </w:r>
    </w:p>
    <w:p>
      <w:pPr>
        <w:pStyle w:val="Compact"/>
        <w:numPr>
          <w:ilvl w:val="0"/>
          <w:numId w:val="1001"/>
        </w:numPr>
      </w:pPr>
      <w:r>
        <w:t xml:space="preserve">Rastet e pavarura, një model i përshtatshëm i shpërndarjes së gabimit dhe varianca mjaft të barabarta të gabimit mbështesin inferencën e zakonshme njëfaktoriale me faktor fiks.</w:t>
      </w:r>
    </w:p>
    <w:p>
      <w:pPr>
        <w:pStyle w:val="Compact"/>
        <w:numPr>
          <w:ilvl w:val="0"/>
          <w:numId w:val="1001"/>
        </w:numPr>
      </w:pPr>
      <w:r>
        <w:t xml:space="preserve">Caktimi i rastësishëm mbështet krahasimin shkakësor të kushteve të caktuara. Vetëm një diferencë e vëzhguar mes grupeve nuk e mbështet.</w:t>
      </w:r>
    </w:p>
    <w:p>
      <w:pPr>
        <w:pStyle w:val="Compact"/>
        <w:numPr>
          <w:ilvl w:val="0"/>
          <w:numId w:val="1001"/>
        </w:numPr>
      </w:pPr>
      <w:r>
        <w:t xml:space="preserve">Grafikët e rezidualeve mund të zbulojnë shqetësime për shpërndarje ose formë të pabarabartë, por nuk mund ta verifikojnë caktimin ose pavarësinë.</w:t>
      </w:r>
    </w:p>
    <w:p>
      <w:pPr>
        <w:pStyle w:val="Compact"/>
        <w:numPr>
          <w:ilvl w:val="0"/>
          <w:numId w:val="1001"/>
        </w:numPr>
      </w:pPr>
      <w:r>
        <w:t xml:space="preserve">Një rezultat domethënës nuk identifikon çdo çift që ndryshon dhe as nuk vërteton rëndësi praktike.</w:t>
      </w:r>
    </w:p>
    <w:bookmarkEnd w:id="25"/>
    <w:bookmarkStart w:id="27" w:name="zgjerimet"/>
    <w:p>
      <w:pPr>
        <w:pStyle w:val="Heading2"/>
      </w:pPr>
      <w:r>
        <w:t xml:space="preserve">Zgjerimet</w:t>
      </w:r>
    </w:p>
    <w:bookmarkStart w:id="26" w:name="tbl-summary-anova-extensions"/>
    <w:p>
      <w:pPr>
        <w:pStyle w:val="TableCaption"/>
        <w:keepNext/>
        <w:keepLines/>
        <w:widowControl/>
        <w:spacing w:before="120" w:after="80"/>
        <w:jc w:val="left"/>
      </w:pPr>
      <w:r>
        <w:t xml:space="preserve">Tabela 2: Çdo zgjerim e ndryshon pyetjen e dizajnit dhe, prandaj, strukturën e modelit.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4000"/>
        <w:gridCol w:w="5524"/>
      </w:tblGrid>
      <w:tr>
        <w:trPr>
          <w:cantSplit/>
          <w:tblHeader w:val="on"/>
        </w:trPr>
        <w:tc>
          <w:tcPr>
            <w:tcW w:w="4000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Zgjerimi</w:t>
            </w:r>
          </w:p>
        </w:tc>
        <w:tc>
          <w:tcPr>
            <w:tcW w:w="5524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Pyetja e re</w:t>
            </w:r>
          </w:p>
        </w:tc>
      </w:tr>
      <w:tr>
        <w:trPr>
          <w:cantSplit/>
        </w:trPr>
        <w:tc>
          <w:tcPr>
            <w:tcW w:w="4000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ANOVA faktoriale</w:t>
            </w:r>
          </w:p>
        </w:tc>
        <w:tc>
          <w:tcPr>
            <w:tcW w:w="5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Si lidhen disa faktorë kategorikë dhe ndërveprimet e tyre me rezultatin?</w:t>
            </w:r>
          </w:p>
        </w:tc>
      </w:tr>
      <w:tr>
        <w:trPr>
          <w:cantSplit/>
        </w:trPr>
        <w:tc>
          <w:tcPr>
            <w:tcW w:w="4000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Faktori i rastësishëm</w:t>
            </w:r>
          </w:p>
        </w:tc>
        <w:tc>
          <w:tcPr>
            <w:tcW w:w="552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Sa ndryshueshmëri e modelit lidhet me nivelet e kampionuara nga një popullatë më e gjerë nivelesh?</w:t>
            </w:r>
          </w:p>
        </w:tc>
      </w:tr>
      <w:tr>
        <w:trPr>
          <w:cantSplit/>
        </w:trPr>
        <w:tc>
          <w:tcPr>
            <w:tcW w:w="4000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Matjet e përsëritura</w:t>
            </w:r>
          </w:p>
        </w:tc>
        <w:tc>
          <w:tcPr>
            <w:tcW w:w="5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Si ndryshojnë kushtet kur të njëjtët persona maten disa herë?</w:t>
            </w:r>
          </w:p>
        </w:tc>
      </w:tr>
      <w:tr>
        <w:trPr>
          <w:cantSplit/>
        </w:trPr>
        <w:tc>
          <w:tcPr>
            <w:tcW w:w="4000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Analiza e kovariancës</w:t>
            </w:r>
          </w:p>
        </w:tc>
        <w:tc>
          <w:tcPr>
            <w:tcW w:w="552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center"/>
            </w:pPr>
            <w:r>
              <w:rPr>
                <w:sz w:val="20"/>
                <w:szCs w:val="20"/>
              </w:rPr>
              <w:t xml:space="preserve">Si punojnë së bashku ndryshoret parashikuese kategorike dhe sasiore në një model?</w:t>
            </w:r>
          </w:p>
        </w:tc>
      </w:tr>
    </w:tbl>
    <w:bookmarkEnd w:id="26"/>
    <w:p/>
    <w:p>
      <w:pPr>
        <w:pStyle w:val="BodyText"/>
      </w:pPr>
      <w:r>
        <w:t xml:space="preserve">Për një faktor njëfaktorial të rastësishëm dhe të balancuar,</w:t>
      </w:r>
    </w:p>
    <w:p>
      <w:pPr>
        <w:pStyle w:val="BodyText"/>
      </w:pPr>
      <ns5:oMathPara>
        <ns5:oMathParaPr>
          <ns5:jc ns5:val="center"/>
        </ns5:oMathParaPr>
        <ns5:oMath>
          <ns5:sSubSup>
            <ns5:e>
              <ns5:acc>
                <ns5:accPr>
                  <ns5:chr ns5:val="̂"/>
                </ns5:accPr>
                <ns5:e>
                  <ns5:r>
                    <ns5:t>σ</ns5:t>
                  </ns5:r>
                </ns5:e>
              </ns5:acc>
            </ns5:e>
            <ns5:sub>
              <ns5:r>
                <ns5:t>A</ns5:t>
              </ns5:r>
            </ns5:sub>
            <ns5:sup>
              <ns5:r>
                <ns5:t>2</ns5:t>
              </ns5:r>
            </ns5:sup>
          </ns5:sSubSup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A</ns5:t>
                  </ns5:r>
                </ns5:sub>
              </ns5:sSub>
              <ns5:r>
                <ns5:rPr>
                  <ns5:sty ns5:val="p"/>
                </ns5:rPr>
                <ns5:t>−</ns5:t>
              </ns5:r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e</ns5:t>
                  </ns5:r>
                </ns5:sub>
              </ns5:sSub>
            </ns5:num>
            <ns5:den>
              <ns5:r>
                <ns5:t>n</ns5:t>
              </ns5:r>
            </ns5:den>
          </ns5:f>
          <ns5:r>
            <ns5:rPr>
              <ns5:sty ns5:val="p"/>
            </ns5:rPr>
            <ns5:t>,</ns5:t>
          </ns5:r>
          <ns5:r>
            <ns5:t>  </ns5:t>
          </ns5:r>
          <ns5:r>
            <ns5:t>I</ns5:t>
          </ns5:r>
          <ns5:r>
            <ns5:t>C</ns5:t>
          </ns5:r>
          <ns5:r>
            <ns5:t>C</ns5:t>
          </ns5:r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sSubSup>
                <ns5:e>
                  <ns5:acc>
                    <ns5:accPr>
                      <ns5:chr ns5:val="̂"/>
                    </ns5:accPr>
                    <ns5:e>
                      <ns5:r>
                        <ns5:t>σ</ns5:t>
                      </ns5:r>
                    </ns5:e>
                  </ns5:acc>
                </ns5:e>
                <ns5:sub>
                  <ns5:r>
                    <ns5:t>A</ns5:t>
                  </ns5:r>
                </ns5:sub>
                <ns5:sup>
                  <ns5:r>
                    <ns5:t>2</ns5:t>
                  </ns5:r>
                </ns5:sup>
              </ns5:sSubSup>
            </ns5:num>
            <ns5:den>
              <ns5:sSubSup>
                <ns5:e>
                  <ns5:acc>
                    <ns5:accPr>
                      <ns5:chr ns5:val="̂"/>
                    </ns5:accPr>
                    <ns5:e>
                      <ns5:r>
                        <ns5:t>σ</ns5:t>
                      </ns5:r>
                    </ns5:e>
                  </ns5:acc>
                </ns5:e>
                <ns5:sub>
                  <ns5:r>
                    <ns5:t>A</ns5:t>
                  </ns5:r>
                </ns5:sub>
                <ns5:sup>
                  <ns5:r>
                    <ns5:t>2</ns5:t>
                  </ns5:r>
                </ns5:sup>
              </ns5:sSubSup>
              <ns5:r>
                <ns5:rPr>
                  <ns5:sty ns5:val="p"/>
                </ns5:rPr>
                <ns5:t>+</ns5:t>
              </ns5:r>
              <ns5:sSubSup>
                <ns5:e>
                  <ns5:acc>
                    <ns5:accPr>
                      <ns5:chr ns5:val="̂"/>
                    </ns5:accPr>
                    <ns5:e>
                      <ns5:r>
                        <ns5:t>σ</ns5:t>
                      </ns5:r>
                    </ns5:e>
                  </ns5:acc>
                </ns5:e>
                <ns5:sub>
                  <ns5:r>
                    <ns5:t>e</ns5:t>
                  </ns5:r>
                </ns5:sub>
                <ns5:sup>
                  <ns5:r>
                    <ns5:t>2</ns5:t>
                  </ns5:r>
                </ns5:sup>
              </ns5:sSubSup>
            </ns5:den>
          </ns5:f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Në ANOVA-n me matje të përsëritura, vëzhgimet e të njëjtit person lidhen. Sfericiteti pyet nëse të gjitha variancat në popullatë të rezultateve të diferencave në çift janë të barabarta. Korrigjimi Greenhouse-Geisser i shumëzon shkallët e lirisë të numëruesit dhe emëruesit me</w:t>
      </w:r>
      <w:r>
        <w:t xml:space="preserve"> </w:t>
      </w:r>
      <ns5:oMath>
        <ns5:acc>
          <ns5:accPr>
            <ns5:chr ns5:val="̂"/>
          </ns5:accPr>
          <ns5:e>
            <ns5:r>
              <ns5:t>ε</ns5:t>
            </ns5:r>
          </ns5:e>
        </ns5:acc>
      </ns5:oMath>
      <w:r>
        <w:t xml:space="preserve">. Ai e lë të pandryshuar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e vëzhguar dhe rillogarit referencën e saj.</w:t>
      </w:r>
    </w:p>
    <w:bookmarkEnd w:id="27"/>
    <w:bookmarkStart w:id="28" w:name="si-lidhen-idetë"/>
    <w:p>
      <w:pPr>
        <w:pStyle w:val="Heading2"/>
      </w:pPr>
      <w:r>
        <w:t xml:space="preserve">Si lidhen idetë</w:t>
      </w:r>
    </w:p>
    <w:p>
      <w:pPr>
        <w:pStyle w:val="FirstParagraph"/>
      </w:pPr>
      <w:r>
        <w:t xml:space="preserve">ANOVA nuk është e shkëputur nga regresioni. Ndryshoret treguese përfaqësojnë nivelet e faktorit, mesataret e përshtatura të grupeve janë vlera të përshtatura të regresionit dhe</w:t>
      </w:r>
      <w:r>
        <w:t xml:space="preserve"> </w:t>
      </w:r>
      <ns5:oMath>
        <ns5:r>
          <ns5:t>S</ns5:t>
        </ns5:r>
        <ns5:sSub>
          <ns5:e>
            <ns5:r>
              <ns5:t>S</ns5:t>
            </ns5:r>
          </ns5:e>
          <ns5:sub>
            <ns5:r>
              <ns5:t>e</ns5:t>
            </ns5:r>
          </ns5:sub>
        </ns5:sSub>
      </ns5:oMath>
      <w:r>
        <w:t xml:space="preserve"> </w:t>
      </w:r>
      <w:r>
        <w:t xml:space="preserve">është ndryshueshmëria reziduale. Prandaj, korrelacioni, regresioni i thjeshtë, korrelacioni i pjesshëm, regresioni i shumëfishtë dhe ANOVA formojnë një familje në zhvillim të pyetjeve lineare. Dizajni, rolet e ndryshoreve, varësia dhe popullata e synuar përcaktojnë se cili version është i përshtatshëm.</w:t>
      </w:r>
    </w:p>
    <w:bookmarkEnd w:id="28"/>
    <w:bookmarkEnd w:id="29"/>
    <w:bookmarkStart w:id="40" w:name="referencë-e-zgjeruar"/>
    <w:p>
      <w:pPr>
        <w:pStyle w:val="Heading1"/>
        <w:pageBreakBefore/>
      </w:pPr>
      <w:r>
        <w:t xml:space="preserve">Referencë e zgjeruar</w:t>
      </w:r>
    </w:p>
    <w:bookmarkStart w:id="30" w:name="qëllimi-dhe-bazat"/>
    <w:p>
      <w:pPr>
        <w:pStyle w:val="Heading2"/>
      </w:pPr>
      <w:r>
        <w:t xml:space="preserve">Qëllimi dhe bazat</w:t>
      </w:r>
    </w:p>
    <w:p>
      <w:pPr>
        <w:pStyle w:val="FirstParagraph"/>
      </w:pPr>
      <w:r>
        <w:t xml:space="preserve">Analiza e variancës, e shkurtuar ANOVA, i krahason rezultatet mesatare nëpër grupe duke studiuar ndryshueshmërinë. Emri mund të duket befasues, sepse pyetja kërkimore lidhet me mesataret. Metoda funksionon duke e ndarë ndryshueshmërinë e përgjithshme të rezultatit në një pjesë që lidhet me dallimet mes grupeve dhe një pjesë që mbetet mes rasteve brenda të njëjtave grupe. Nëse përbërësi që lidhet me grupin është i madh në raport me ndryshueshmërinë reziduale, të dhënat japin evidencë se jo të gjitha mesataret e grupeve në popullatë janë të barabarta.</w:t>
      </w:r>
    </w:p>
    <w:p>
      <w:pPr>
        <w:pStyle w:val="BodyText"/>
      </w:pPr>
      <w:r>
        <w:t xml:space="preserve">Në një ANOVA njëfaktoriale mes grupeve, ka një faktor kategorial dhe një rezultat numerik.</w:t>
      </w:r>
      <w:r>
        <w:t xml:space="preserve"> </w:t>
      </w:r>
      <w:r>
        <w:rPr>
          <w:b/>
          <w:bCs/>
        </w:rPr>
        <w:t xml:space="preserve">Faktori</w:t>
      </w:r>
      <w:r>
        <w:t xml:space="preserve"> </w:t>
      </w:r>
      <w:r>
        <w:t xml:space="preserve">është ndryshore parashikuese kategoriale; kategoritë e tij quhen</w:t>
      </w:r>
      <w:r>
        <w:t xml:space="preserve"> </w:t>
      </w:r>
      <w:r>
        <w:rPr>
          <w:b/>
          <w:bCs/>
        </w:rPr>
        <w:t xml:space="preserve">nivele</w:t>
      </w:r>
      <w:r>
        <w:t xml:space="preserve">. Çdo rast i përket një niveli dhe raste të ndryshme paraqiten në grupe të ndryshme. Hipoteza zero thotë se të gjitha mesataret e grupeve në popullatë janë të barabarta. Alternativa thotë se jo të gjitha mesataret e popullatës janë të barabarta, që do të thotë se të paktën dy prej tyre ndryshojnë. Hedhja poshtë e hipotezës zero nuk tregon cilat grupe ndryshojnë ose sa të mëdha janë dallimet.</w:t>
      </w:r>
    </w:p>
    <w:p>
      <w:pPr>
        <w:pStyle w:val="BodyText"/>
      </w:pPr>
      <w:r>
        <w:t xml:space="preserve">Fillo me dizajnin. Identifiko njësinë vrojtuese ose eksperimentale, nivelet e faktorit, rezultatin dhe shkallën e tij, si dhe nëse vrojtimet janë të pavarura apo të përsëritura. Vizato rezultatin sipas grupit dhe raporto madhësitë e kampioneve të grupeve, mesataret, devijimet standarde dhe intervalet. Një statistikë testi nuk mund ta rregullojë një mospërputhje mes dizajnit dhe modelit.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2762"/>
        <w:gridCol w:w="3524"/>
        <w:gridCol w:w="3238"/>
      </w:tblGrid>
      <w:tr>
        <w:trPr>
          <w:cantSplit/>
          <w:tblHeader w:val="on"/>
        </w:trPr>
        <w:tc>
          <w:tcPr>
            <w:tcW w:w="2762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Madhësia e ANOVA-s</w:t>
            </w:r>
          </w:p>
        </w:tc>
        <w:tc>
          <w:tcPr>
            <w:tcW w:w="3524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Çfarë regjistron</w:t>
            </w:r>
          </w:p>
        </w:tc>
        <w:tc>
          <w:tcPr>
            <w:tcW w:w="3238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Shkallët e lirisë në një dizajn njëfaktorial</w:t>
            </w:r>
          </w:p>
        </w:tc>
      </w:tr>
      <w:tr>
        <w:trPr>
          <w:cantSplit/>
        </w:trPr>
        <w:tc>
          <w:tcPr>
            <w:tcW w:w="2762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Shuma e përgjithshme e katrorëve</w:t>
            </w:r>
          </w:p>
        </w:tc>
        <w:tc>
          <w:tcPr>
            <w:tcW w:w="3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Devijimin e secilit rast të ngritur në katror nga mesatarja e përgjithshme</w:t>
            </w:r>
          </w:p>
        </w:tc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ns5:oMath>
              <ns5:r>
                <ns5:t>N</ns5:t>
              </ns5:r>
              <ns5:r>
                <ns5:rPr>
                  <ns5:sty ns5:val="p"/>
                </ns5:rPr>
                <ns5:t>−</ns5:t>
              </ns5:r>
              <ns5:r>
                <ns5:t>1</ns5:t>
              </ns5:r>
            </ns5:oMath>
          </w:p>
        </w:tc>
      </w:tr>
      <w:tr>
        <w:trPr>
          <w:cantSplit/>
        </w:trPr>
        <w:tc>
          <w:tcPr>
            <w:tcW w:w="2762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Shuma e katrorëve të faktorit</w:t>
            </w:r>
          </w:p>
        </w:tc>
        <w:tc>
          <w:tcPr>
            <w:tcW w:w="352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Devijimet e mesatareve të grupeve nga mesatarja e përgjithshme, të peshuara sipas madhësisë së grupit</w:t>
            </w:r>
          </w:p>
        </w:tc>
        <w:tc>
          <w:tcPr>
            <w:tcW w:w="323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ns5:oMath>
              <ns5:r>
                <ns5:t>k</ns5:t>
              </ns5:r>
              <ns5:r>
                <ns5:rPr>
                  <ns5:sty ns5:val="p"/>
                </ns5:rPr>
                <ns5:t>−</ns5:t>
              </ns5:r>
              <ns5:r>
                <ns5:t>1</ns5:t>
              </ns5:r>
            </ns5:oMath>
          </w:p>
        </w:tc>
      </w:tr>
      <w:tr>
        <w:trPr>
          <w:cantSplit/>
        </w:trPr>
        <w:tc>
          <w:tcPr>
            <w:tcW w:w="2762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Shuma e katrorëve të gabimit</w:t>
            </w:r>
          </w:p>
        </w:tc>
        <w:tc>
          <w:tcPr>
            <w:tcW w:w="3524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Devijimet individuale nga mesatarja e grupit përkatës</w:t>
            </w:r>
          </w:p>
        </w:tc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ns5:oMath>
              <ns5:r>
                <ns5:t>N</ns5:t>
              </ns5:r>
              <ns5:r>
                <ns5:rPr>
                  <ns5:sty ns5:val="p"/>
                </ns5:rPr>
                <ns5:t>−</ns5:t>
              </ns5:r>
              <ns5:r>
                <ns5:t>k</ns5:t>
              </ns5:r>
            </ns5:oMath>
          </w:p>
        </w:tc>
      </w:tr>
      <w:tr>
        <w:trPr>
          <w:cantSplit/>
        </w:trPr>
        <w:tc>
          <w:tcPr>
            <w:tcW w:w="2762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Mesatarja e katrorëve</w:t>
            </w:r>
          </w:p>
        </w:tc>
        <w:tc>
          <w:tcPr>
            <w:tcW w:w="3524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Shuma e katrorëve e pjesëtuar me shkallët e saj të lirisë</w:t>
            </w:r>
          </w:p>
        </w:tc>
        <w:tc>
          <w:tcPr>
            <w:tcW w:w="323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Varet nga përbërësi</w:t>
            </w:r>
          </w:p>
        </w:tc>
      </w:tr>
    </w:tbl>
    <w:bookmarkEnd w:id="30"/>
    <w:bookmarkStart w:id="31" w:name="idetë-kryesore"/>
    <w:p>
      <w:pPr>
        <w:pStyle w:val="Heading2"/>
      </w:pPr>
      <w:r>
        <w:t xml:space="preserve">Idetë kryesore</w:t>
      </w:r>
    </w:p>
    <w:p>
      <w:pPr>
        <w:pStyle w:val="FirstParagraph"/>
      </w:pPr>
      <w:r>
        <w:rPr>
          <w:b/>
          <w:bCs/>
        </w:rPr>
        <w:t xml:space="preserve">Mesatarja e përgjithshme</w:t>
      </w:r>
      <w:r>
        <w:t xml:space="preserve"> </w:t>
      </w:r>
      <w:r>
        <w:t xml:space="preserve">është mesatarja e të gjitha vrojtimeve. Shuma e përgjithshme e katrorëve mat sa larg gjendet secili rezultat nga ajo mesatare. Shuma e katrorëve të faktorit pyet sa larg gjendet mesatarja e secilit grup nga mesatarja e përgjithshme dhe e peshon këtë largësi të ngritur në katror me madhësinë e grupit. Shuma e katrorëve të gabimit mat sa larg gjendet secili vrojtim nga mesatarja e grupit të vet. Në modelin e zakonshëm njëfaktorial me konstantë, shumat e katrorëve të faktorit dhe gabimit japin saktësisht shumën e përgjithshme të katrorëve.</w:t>
      </w:r>
    </w:p>
    <w:p>
      <w:pPr>
        <w:pStyle w:val="BodyText"/>
      </w:pPr>
      <w:r>
        <w:t xml:space="preserve">Shumat e katrorëve rriten me madhësinë e kampionit dhe nuk marrin parasysh sa pjesë të pavarura informacioni janë përdorur. Pjesëtimi i secilit përbërës me shkallët e tij të lirisë jep një mesatare katrorësh. Statistika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e pjesëton mesataren e katrorëve të faktorit me mesataren e katrorëve të gabimit. Nën hipotezën zero dhe supozimet e modelit, të dyja e vlerësojnë të njëjtën variancë gabimi në mënyra të ndryshme, prandaj një raport pranë njëshit është i arsyeshëm. Një raport i madh tregon se ndarja e mesatareve të grupeve është e madhe në raport me ndryshueshmërinë tipike brenda grupeve.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3238"/>
        <w:gridCol w:w="2857"/>
        <w:gridCol w:w="3429"/>
      </w:tblGrid>
      <w:tr>
        <w:trPr>
          <w:cantSplit/>
          <w:tblHeader w:val="on"/>
        </w:trPr>
        <w:tc>
          <w:tcPr>
            <w:tcW w:w="3238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Pyetja vijuese</w:t>
            </w:r>
          </w:p>
        </w:tc>
        <w:tc>
          <w:tcPr>
            <w:tcW w:w="2857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Mjeti i përshtatshëm</w:t>
            </w:r>
          </w:p>
        </w:tc>
        <w:tc>
          <w:tcPr>
            <w:tcW w:w="3429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Fokusi i interpretimit</w:t>
            </w:r>
          </w:p>
        </w:tc>
      </w:tr>
      <w:tr>
        <w:trPr>
          <w:cantSplit/>
        </w:trPr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 ndryshoi një krahasim shkencor i planifikuar?</w:t>
            </w:r>
          </w:p>
        </w:tc>
        <w:tc>
          <w:tcPr>
            <w:tcW w:w="285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Kontrasti i planifikuar</w:t>
            </w:r>
          </w:p>
        </w:tc>
        <w:tc>
          <w:tcPr>
            <w:tcW w:w="3429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Krahasimi i përcaktuar dhe i peshuar i mesatareve dhe pasiguria e tij</w:t>
            </w:r>
          </w:p>
        </w:tc>
      </w:tr>
      <w:tr>
        <w:trPr>
          <w:cantSplit/>
        </w:trPr>
        <w:tc>
          <w:tcPr>
            <w:tcW w:w="323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Cilat çifte ndryshojnë pas një rezultati të përgjithshëm?</w:t>
            </w:r>
          </w:p>
        </w:tc>
        <w:tc>
          <w:tcPr>
            <w:tcW w:w="2857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Krahasimet dyshe të përshtatura për shumëfishësinë</w:t>
            </w:r>
          </w:p>
        </w:tc>
        <w:tc>
          <w:tcPr>
            <w:tcW w:w="3429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Dallimet mes çifteve me kontroll të njëkohshëm të gabimit</w:t>
            </w:r>
          </w:p>
        </w:tc>
      </w:tr>
      <w:tr>
        <w:trPr>
          <w:cantSplit/>
        </w:trPr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Si duhet dokumentuar analiza e përgjithshme?</w:t>
            </w:r>
          </w:p>
        </w:tc>
        <w:tc>
          <w:tcPr>
            <w:tcW w:w="2857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Tabela e plotë ANOVA</w:t>
            </w:r>
          </w:p>
        </w:tc>
        <w:tc>
          <w:tcPr>
            <w:tcW w:w="3429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Shumat e katrorëve, shkallët e lirisë, mesataret e katrorëve,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F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dhe vlera p</w:t>
            </w:r>
          </w:p>
        </w:tc>
      </w:tr>
      <w:tr>
        <w:trPr>
          <w:cantSplit/>
        </w:trPr>
        <w:tc>
          <w:tcPr>
            <w:tcW w:w="323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 varet modeli i një faktori nga një tjetër?</w:t>
            </w:r>
          </w:p>
        </w:tc>
        <w:tc>
          <w:tcPr>
            <w:tcW w:w="2857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ANOVA faktoriale me ndërveprim</w:t>
            </w:r>
          </w:p>
        </w:tc>
        <w:tc>
          <w:tcPr>
            <w:tcW w:w="3429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Dallimet e dallimeve në vend të efekteve kryesore të veçuara</w:t>
            </w:r>
          </w:p>
        </w:tc>
      </w:tr>
    </w:tbl>
    <w:p>
      <w:pPr>
        <w:pStyle w:val="BodyText"/>
      </w:pPr>
      <w:r>
        <w:t xml:space="preserve">Testet e shumta të papërshtatura e rrisin probabilitetin e të paktën një gabimi të llojit I në një familje krahasimesh. Një ANOVA e përgjithshme kontrollon një pyetje të përgjithshme, por nuk i zëvendëson krahasimet pasuese të zgjedhura me kujdes. Kontrastet e planifikuara duhet të vijnë nga pyetja kërkimore. Procedurat dyshe pas analizës përdorin një përshtatje të ndërtuar për familjen që po interpretohet. Raporto dallimet ose kontrastet e vlerësuara mes mesatareve, pasigurinë e tyre dhe vlerat p të përshtatura.</w:t>
      </w:r>
    </w:p>
    <w:p>
      <w:pPr>
        <w:pStyle w:val="BodyText"/>
      </w:pPr>
      <w:r>
        <w:t xml:space="preserve">ANOVA faktoriale përmban më shumë se një faktor. Efektet kryesore përmbledhin dallimet mesatare për një faktor nëpër nivelet e faktorit tjetër. Ndërveprimi pyet nëse efekti i një faktori ndryshon nëpër nivelet e faktorit tjetër. Kur ndërveprimi ka kuptim, interpreto mesataret dhe kontrastet e kushtëzuara të grupeve në vend që të mbështetesh vetëm te efektet kryesore.</w:t>
      </w:r>
    </w:p>
    <w:p>
      <w:pPr>
        <w:pStyle w:val="BodyText"/>
      </w:pPr>
      <w:r>
        <w:t xml:space="preserve">Të dhënat me matje të përsëritura kërkojnë një model që pranon se disa vrojtime i përkasin të njëjtit person ose të njëjtës njësi. Këto vrojtime janë të korreluara dhe nuk mund të trajtohen si grupe të pavarura. Sfericiteti është një kusht i matjeve të përsëritura që lidhet me variancat e dallimeve dyshe mes niveleve. Kur ky kusht nuk është i arsyeshëm, kërkohet korrigjimi i shkallëve të lirisë ose një model i përshtatshëm për të dhëna të përsëritura. Këndvështrimi i efekteve të rastësishme e ndan ndryshueshmërinë mes grupeve ose njerëzve nga ndryshueshmëria brenda tyre; koeficienti i korrelacionit brenda klasës përmbledh sa fort ngjajnë me njëra-tjetrën vrojtimet nga i njëjti grup.</w:t>
      </w:r>
    </w:p>
    <w:p>
      <w:pPr>
        <w:pStyle w:val="BodyText"/>
      </w:pPr>
      <w:r>
        <w:t xml:space="preserve">Modeli i zakonshëm mes grupeve supozon vrojtime të pavarura, strukturë të përshtatshme të mesatares dhe varianca reziduale të përshtatshme për inferencën e synuar</w:t>
      </w:r>
      <w:r>
        <w:t xml:space="preserve"> </w:t>
      </w:r>
      <ns5:oMath>
        <ns5:r>
          <ns5:t>F</ns5:t>
        </ns5:r>
      </ns5:oMath>
      <w:r>
        <w:t xml:space="preserve">. Diagnostika e rezidualeve dhe paraqitjet e grupeve kanë rëndësi. Kur variancat dhe madhësitë e grupeve janë të pabarabarta, testi standard me gabim të bashkuar mund të jetë i papërshtatshëm. Përgjigjja duhet të ndjekë dizajnin dhe procedurën e deklaruar në material, jo një transformim automatik ose heqje automatike të rasteve.</w:t>
      </w:r>
    </w:p>
    <w:bookmarkEnd w:id="31"/>
    <w:bookmarkStart w:id="32" w:name="udhëzuesi-i-formulave"/>
    <w:p>
      <w:pPr>
        <w:pStyle w:val="Heading2"/>
      </w:pPr>
      <w:r>
        <w:t xml:space="preserve">Udhëzuesi i formulave</w:t>
      </w:r>
    </w:p>
    <w:p>
      <w:pPr>
        <w:pStyle w:val="FirstParagraph"/>
      </w:pPr>
      <w:r>
        <w:t xml:space="preserve">Modeli njëfaktorial e shkruan secilin rezultat si mesatare të përgjithshme, efekt të grupit dhe gabim individual: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Y</ns5:t>
              </ns5:r>
            </ns5:e>
            <ns5:sub>
              <ns5:r>
                <ns5:t>i</ns5:t>
              </ns5:r>
              <ns5:r>
                <ns5:t>j</ns5:t>
              </ns5:r>
            </ns5:sub>
          </ns5:sSub>
          <ns5:r>
            <ns5:rPr>
              <ns5:sty ns5:val="p"/>
            </ns5:rPr>
            <ns5:t>=</ns5:t>
          </ns5:r>
          <ns5:r>
            <ns5:t>μ</ns5:t>
          </ns5:r>
          <ns5:r>
            <ns5:rPr>
              <ns5:sty ns5:val="p"/>
            </ns5:rPr>
            <ns5:t>+</ns5:t>
          </ns5:r>
          <ns5:sSub>
            <ns5:e>
              <ns5:r>
                <ns5:t>α</ns5:t>
              </ns5:r>
            </ns5:e>
            <ns5:sub>
              <ns5:r>
                <ns5:t>j</ns5:t>
              </ns5:r>
            </ns5:sub>
          </ns5:sSub>
          <ns5:r>
            <ns5:rPr>
              <ns5:sty ns5:val="p"/>
            </ns5:rPr>
            <ns5:t>+</ns5:t>
          </ns5:r>
          <ns5:sSub>
            <ns5:e>
              <ns5:r>
                <ns5:t>ε</ns5:t>
              </ns5:r>
            </ns5:e>
            <ns5:sub>
              <ns5:r>
                <ns5:t>i</ns5:t>
              </ns5:r>
              <ns5:r>
                <ns5:t>j</ns5:t>
              </ns5:r>
            </ns5:sub>
          </ns5:sSub>
        </ns5:oMath>
      </ns5:oMathPara>
    </w:p>
    <w:p>
      <w:pPr>
        <w:pStyle w:val="FirstParagraph"/>
      </w:pPr>
      <w:r>
        <w:t xml:space="preserve">Këtu</w:t>
      </w:r>
      <w:r>
        <w:t xml:space="preserve"> </w:t>
      </w:r>
      <ns5:oMath>
        <ns5:r>
          <ns5:t>i</ns5:t>
        </ns5:r>
      </ns5:oMath>
      <w:r>
        <w:t xml:space="preserve"> </w:t>
      </w:r>
      <w:r>
        <w:t xml:space="preserve">identifikon një rast brenda grupit</w:t>
      </w:r>
      <w:r>
        <w:t xml:space="preserve"> </w:t>
      </w:r>
      <ns5:oMath>
        <ns5:r>
          <ns5:t>j</ns5:t>
        </ns5:r>
      </ns5:oMath>
      <w:r>
        <w:t xml:space="preserve">,</w:t>
      </w:r>
      <w:r>
        <w:t xml:space="preserve"> </w:t>
      </w:r>
      <ns5:oMath>
        <ns5:r>
          <ns5:t>μ</ns5:t>
        </ns5:r>
      </ns5:oMath>
      <w:r>
        <w:t xml:space="preserve"> </w:t>
      </w:r>
      <w:r>
        <w:t xml:space="preserve">është referenca e përgjithshme,</w:t>
      </w:r>
      <w:r>
        <w:t xml:space="preserve"> </w:t>
      </w:r>
      <ns5:oMath>
        <ns5:sSub>
          <ns5:e>
            <ns5:r>
              <ns5:t>α</ns5:t>
            </ns5:r>
          </ns5:e>
          <ns5:sub>
            <ns5:r>
              <ns5:t>j</ns5:t>
            </ns5:r>
          </ns5:sub>
        </ns5:sSub>
      </ns5:oMath>
      <w:r>
        <w:t xml:space="preserve"> </w:t>
      </w:r>
      <w:r>
        <w:t xml:space="preserve">është përbërësi i grupit dhe</w:t>
      </w:r>
      <w:r>
        <w:t xml:space="preserve"> </w:t>
      </w:r>
      <ns5:oMath>
        <ns5:sSub>
          <ns5:e>
            <ns5:r>
              <ns5:t>ε</ns5:t>
            </ns5:r>
          </ns5:e>
          <ns5:sub>
            <ns5:r>
              <ns5:t>i</ns5:t>
            </ns5:r>
            <ns5:r>
              <ns5:t>j</ns5:t>
            </ns5:r>
          </ns5:sub>
        </ns5:sSub>
      </ns5:oMath>
      <w:r>
        <w:t xml:space="preserve"> </w:t>
      </w:r>
      <w:r>
        <w:t xml:space="preserve">është ndryshueshmëria reziduale. Shuma e përgjithshme e katrorëve është:</w:t>
      </w:r>
    </w:p>
    <w:p>
      <w:pPr>
        <w:pStyle w:val="BodyText"/>
      </w:pPr>
      <ns5:oMathPara>
        <ns5:oMathParaPr>
          <ns5:jc ns5:val="center"/>
        </ns5:oMathParaPr>
        <ns5:oMath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total</ns5:t>
              </ns5:r>
            </ns5:sub>
          </ns5:sSub>
          <ns5:r>
            <ns5:rPr>
              <ns5:sty ns5:val="p"/>
            </ns5:rPr>
            <ns5:t>=</ns5:t>
          </ns5:r>
          <ns5:nary>
            <ns5:naryPr>
              <ns5:chr ns5:val="∑"/>
              <ns5:limLoc ns5:val="undOvr"/>
              <ns5:subHide ns5:val="off"/>
              <ns5:supHide ns5:val="off"/>
            </ns5:naryPr>
            <ns5:sub>
              <ns5:r>
                <ns5:t>j</ns5:t>
              </ns5:r>
              <ns5:r>
                <ns5:rPr>
                  <ns5:sty ns5:val="p"/>
                </ns5:rPr>
                <ns5:t>=</ns5:t>
              </ns5:r>
              <ns5:r>
                <ns5:t>1</ns5:t>
              </ns5:r>
            </ns5:sub>
            <ns5:sup>
              <ns5:r>
                <ns5:t>k</ns5:t>
              </ns5:r>
            </ns5:sup>
            <ns5:e>
              <ns5:nary>
                <ns5:naryPr>
                  <ns5:chr ns5:val="∑"/>
                  <ns5:limLoc ns5:val="undOvr"/>
                  <ns5:subHide ns5:val="off"/>
                  <ns5:supHide ns5:val="off"/>
                </ns5:naryPr>
                <ns5:sub>
                  <ns5:r>
                    <ns5:t>i</ns5:t>
                  </ns5:r>
                  <ns5:r>
                    <ns5:rPr>
                      <ns5:sty ns5:val="p"/>
                    </ns5:rPr>
                    <ns5:t>=</ns5:t>
                  </ns5:r>
                  <ns5:r>
                    <ns5:t>1</ns5:t>
                  </ns5:r>
                </ns5:sub>
                <ns5:sup>
                  <ns5:sSub>
                    <ns5:e>
                      <ns5:r>
                        <ns5:t>n</ns5:t>
                      </ns5:r>
                    </ns5:e>
                    <ns5:sub>
                      <ns5:r>
                        <ns5:t>j</ns5:t>
                      </ns5:r>
                    </ns5:sub>
                  </ns5:sSub>
                </ns5:sup>
                <ns5:e>
                  <ns5:sSup>
                    <ns5:e>
                      <ns5:d>
                        <ns5:dPr>
                          <ns5:begChr ns5:val="("/>
                          <ns5:sepChr ns5:val=""/>
                          <ns5:endChr ns5:val=")"/>
                          <ns5:grow/>
                        </ns5:dPr>
                        <ns5:e>
                          <ns5:sSub>
                            <ns5:e>
                              <ns5:r>
                                <ns5:t>y</ns5:t>
                              </ns5:r>
                            </ns5:e>
                            <ns5:sub>
                              <ns5:r>
                                <ns5:t>i</ns5:t>
                              </ns5:r>
                              <ns5:r>
                                <ns5:t>j</ns5:t>
                              </ns5:r>
                            </ns5:sub>
                          </ns5:sSub>
                          <ns5:r>
                            <ns5:rPr>
                              <ns5:sty ns5:val="p"/>
                            </ns5:rPr>
                            <ns5:t>−</ns5:t>
                          </ns5:r>
                          <ns5:acc>
                            <ns5:accPr>
                              <ns5:chr ns5:val="‾"/>
                            </ns5:accPr>
                            <ns5:e>
                              <ns5:r>
                                <ns5:t>y</ns5:t>
                              </ns5:r>
                            </ns5:e>
                          </ns5:acc>
                        </ns5:e>
                      </ns5:d>
                    </ns5:e>
                    <ns5:sup>
                      <ns5:r>
                        <ns5:t>2</ns5:t>
                      </ns5:r>
                    </ns5:sup>
                  </ns5:sSup>
                </ns5:e>
              </ns5:nary>
            </ns5:e>
          </ns5:nary>
        </ns5:oMath>
      </ns5:oMathPara>
    </w:p>
    <w:p>
      <w:pPr>
        <w:pStyle w:val="FirstParagraph"/>
      </w:pPr>
      <w:r>
        <w:t xml:space="preserve">Ndarja e saj e saktë është:</w:t>
      </w:r>
    </w:p>
    <w:p>
      <w:pPr>
        <w:pStyle w:val="BodyText"/>
      </w:pPr>
      <ns5:oMathPara>
        <ns5:oMathParaPr>
          <ns5:jc ns5:val="center"/>
        </ns5:oMathParaPr>
        <ns5:oMath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total</ns5:t>
              </ns5:r>
            </ns5:sub>
          </ns5:sSub>
          <ns5:r>
            <ns5:rPr>
              <ns5:sty ns5:val="p"/>
            </ns5:rPr>
            <ns5:t>=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factor</ns5:t>
              </ns5:r>
            </ns5:sub>
          </ns5:sSub>
          <ns5:r>
            <ns5:rPr>
              <ns5:sty ns5:val="p"/>
            </ns5:rPr>
            <ns5:t>+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</ns5:sSub>
        </ns5:oMath>
      </ns5:oMathPara>
    </w:p>
    <w:p>
      <w:pPr>
        <w:pStyle w:val="FirstParagraph"/>
      </w:pPr>
      <w:r>
        <w:t xml:space="preserve">Dy përbërësit llogariten si:</w:t>
      </w:r>
    </w:p>
    <w:p>
      <w:pPr>
        <w:pStyle w:val="BodyText"/>
      </w:pPr>
      <ns5:oMathPara>
        <ns5:oMathParaPr>
          <ns5:jc ns5:val="center"/>
        </ns5:oMathParaPr>
        <ns5:oMath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factor</ns5:t>
              </ns5:r>
            </ns5:sub>
          </ns5:sSub>
          <ns5:r>
            <ns5:rPr>
              <ns5:sty ns5:val="p"/>
            </ns5:rPr>
            <ns5:t>=</ns5:t>
          </ns5:r>
          <ns5:nary>
            <ns5:naryPr>
              <ns5:chr ns5:val="∑"/>
              <ns5:limLoc ns5:val="undOvr"/>
              <ns5:subHide ns5:val="off"/>
              <ns5:supHide ns5:val="off"/>
            </ns5:naryPr>
            <ns5:sub>
              <ns5:r>
                <ns5:t>j</ns5:t>
              </ns5:r>
              <ns5:r>
                <ns5:rPr>
                  <ns5:sty ns5:val="p"/>
                </ns5:rPr>
                <ns5:t>=</ns5:t>
              </ns5:r>
              <ns5:r>
                <ns5:t>1</ns5:t>
              </ns5:r>
            </ns5:sub>
            <ns5:sup>
              <ns5:r>
                <ns5:t>k</ns5:t>
              </ns5:r>
            </ns5:sup>
            <ns5:e>
              <ns5:sSub>
                <ns5:e>
                  <ns5:r>
                    <ns5:t>n</ns5:t>
                  </ns5:r>
                </ns5:e>
                <ns5:sub>
                  <ns5:r>
                    <ns5:t>j</ns5:t>
                  </ns5:r>
                </ns5:sub>
              </ns5:sSub>
            </ns5:e>
          </ns5:nary>
          <ns5:sSup>
            <ns5:e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sSub>
                    <ns5:e>
                      <ns5:acc>
                        <ns5:accPr>
                          <ns5:chr ns5:val="‾"/>
                        </ns5:accPr>
                        <ns5:e>
                          <ns5:r>
                            <ns5:t>y</ns5:t>
                          </ns5:r>
                        </ns5:e>
                      </ns5:acc>
                    </ns5:e>
                    <ns5:sub>
                      <ns5:r>
                        <ns5:t>j</ns5:t>
                      </ns5:r>
                    </ns5:sub>
                  </ns5:sSub>
                  <ns5:r>
                    <ns5:rPr>
                      <ns5:sty ns5:val="p"/>
                    </ns5:rPr>
                    <ns5:t>−</ns5:t>
                  </ns5:r>
                  <ns5:acc>
                    <ns5:accPr>
                      <ns5:chr ns5:val="‾"/>
                    </ns5:accPr>
                    <ns5:e>
                      <ns5:r>
                        <ns5:t>y</ns5:t>
                      </ns5:r>
                    </ns5:e>
                  </ns5:acc>
                </ns5:e>
              </ns5:d>
            </ns5:e>
            <ns5:sup>
              <ns5:r>
                <ns5:t>2</ns5:t>
              </ns5:r>
            </ns5:sup>
          </ns5:sSup>
          <ns5:r>
            <ns5:rPr>
              <ns5:sty ns5:val="p"/>
            </ns5:rPr>
            <ns5:t>,</ns5:t>
          </ns5:r>
          <ns5:r>
            <ns5:t>  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</ns5:sSub>
          <ns5:r>
            <ns5:rPr>
              <ns5:sty ns5:val="p"/>
            </ns5:rPr>
            <ns5:t>=</ns5:t>
          </ns5:r>
          <ns5:nary>
            <ns5:naryPr>
              <ns5:chr ns5:val="∑"/>
              <ns5:limLoc ns5:val="undOvr"/>
              <ns5:subHide ns5:val="off"/>
              <ns5:supHide ns5:val="off"/>
            </ns5:naryPr>
            <ns5:sub>
              <ns5:r>
                <ns5:t>j</ns5:t>
              </ns5:r>
              <ns5:r>
                <ns5:rPr>
                  <ns5:sty ns5:val="p"/>
                </ns5:rPr>
                <ns5:t>=</ns5:t>
              </ns5:r>
              <ns5:r>
                <ns5:t>1</ns5:t>
              </ns5:r>
            </ns5:sub>
            <ns5:sup>
              <ns5:r>
                <ns5:t>k</ns5:t>
              </ns5:r>
            </ns5:sup>
            <ns5:e>
              <ns5:nary>
                <ns5:naryPr>
                  <ns5:chr ns5:val="∑"/>
                  <ns5:limLoc ns5:val="undOvr"/>
                  <ns5:subHide ns5:val="off"/>
                  <ns5:supHide ns5:val="off"/>
                </ns5:naryPr>
                <ns5:sub>
                  <ns5:r>
                    <ns5:t>i</ns5:t>
                  </ns5:r>
                  <ns5:r>
                    <ns5:rPr>
                      <ns5:sty ns5:val="p"/>
                    </ns5:rPr>
                    <ns5:t>=</ns5:t>
                  </ns5:r>
                  <ns5:r>
                    <ns5:t>1</ns5:t>
                  </ns5:r>
                </ns5:sub>
                <ns5:sup>
                  <ns5:sSub>
                    <ns5:e>
                      <ns5:r>
                        <ns5:t>n</ns5:t>
                      </ns5:r>
                    </ns5:e>
                    <ns5:sub>
                      <ns5:r>
                        <ns5:t>j</ns5:t>
                      </ns5:r>
                    </ns5:sub>
                  </ns5:sSub>
                </ns5:sup>
                <ns5:e>
                  <ns5:sSup>
                    <ns5:e>
                      <ns5:d>
                        <ns5:dPr>
                          <ns5:begChr ns5:val="("/>
                          <ns5:sepChr ns5:val=""/>
                          <ns5:endChr ns5:val=")"/>
                          <ns5:grow/>
                        </ns5:dPr>
                        <ns5:e>
                          <ns5:sSub>
                            <ns5:e>
                              <ns5:r>
                                <ns5:t>y</ns5:t>
                              </ns5:r>
                            </ns5:e>
                            <ns5:sub>
                              <ns5:r>
                                <ns5:t>i</ns5:t>
                              </ns5:r>
                              <ns5:r>
                                <ns5:t>j</ns5:t>
                              </ns5:r>
                            </ns5:sub>
                          </ns5:sSub>
                          <ns5:r>
                            <ns5:rPr>
                              <ns5:sty ns5:val="p"/>
                            </ns5:rPr>
                            <ns5:t>−</ns5:t>
                          </ns5:r>
                          <ns5:sSub>
                            <ns5:e>
                              <ns5:acc>
                                <ns5:accPr>
                                  <ns5:chr ns5:val="‾"/>
                                </ns5:accPr>
                                <ns5:e>
                                  <ns5:r>
                                    <ns5:t>y</ns5:t>
                                  </ns5:r>
                                </ns5:e>
                              </ns5:acc>
                            </ns5:e>
                            <ns5:sub>
                              <ns5:r>
                                <ns5:t>j</ns5:t>
                              </ns5:r>
                            </ns5:sub>
                          </ns5:sSub>
                        </ns5:e>
                      </ns5:d>
                    </ns5:e>
                    <ns5:sup>
                      <ns5:r>
                        <ns5:t>2</ns5:t>
                      </ns5:r>
                    </ns5:sup>
                  </ns5:sSup>
                </ns5:e>
              </ns5:nary>
            </ns5:e>
          </ns5:nary>
        </ns5:oMath>
      </ns5:oMathPara>
    </w:p>
    <w:p>
      <w:pPr>
        <w:pStyle w:val="FirstParagraph"/>
      </w:pPr>
      <w:r>
        <w:t xml:space="preserve">Mesataret e katrorëve pjesëtohen me shkallët përkatëse të lirisë dhe testi i përgjithshëm i krahason:</w:t>
      </w:r>
    </w:p>
    <w:p>
      <w:pPr>
        <w:pStyle w:val="BodyText"/>
      </w:pPr>
      <ns5:oMathPara>
        <ns5:oMathParaPr>
          <ns5:jc ns5:val="center"/>
        </ns5:oMathParaPr>
        <ns5:oMath>
          <ns5:r>
            <ns5:t>F</ns5:t>
          </ns5:r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rPr>
                      <ns5:nor/>
                      <ns5:sty ns5:val="p"/>
                    </ns5:rPr>
                    <ns5:t>factor</ns5:t>
                  </ns5:r>
                </ns5:sub>
              </ns5:sSub>
            </ns5:num>
            <ns5:den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rPr>
                      <ns5:nor/>
                      <ns5:sty ns5:val="p"/>
                    </ns5:rPr>
                    <ns5:t>error</ns5:t>
                  </ns5:r>
                </ns5:sub>
              </ns5:sSub>
            </ns5:den>
          </ns5:f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S</ns5:t>
              </ns5:r>
              <ns5:sSub>
                <ns5:e>
                  <ns5:r>
                    <ns5:t>S</ns5:t>
                  </ns5:r>
                </ns5:e>
                <ns5:sub>
                  <ns5:r>
                    <ns5:rPr>
                      <ns5:nor/>
                      <ns5:sty ns5:val="p"/>
                    </ns5:rPr>
                    <ns5:t>factor</ns5:t>
                  </ns5:r>
                </ns5:sub>
              </ns5:sSub>
              <ns5:r>
                <ns5:rPr>
                  <ns5:sty ns5:val="p"/>
                </ns5:rPr>
                <ns5:t>/</ns5:t>
              </ns5:r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k</ns5:t>
                  </ns5:r>
                  <ns5:r>
                    <ns5:rPr>
                      <ns5:sty ns5:val="p"/>
                    </ns5:rPr>
                    <ns5:t>−</ns5:t>
                  </ns5:r>
                  <ns5:r>
                    <ns5:t>1</ns5:t>
                  </ns5:r>
                </ns5:e>
              </ns5:d>
            </ns5:num>
            <ns5:den>
              <ns5:r>
                <ns5:t>S</ns5:t>
              </ns5:r>
              <ns5:sSub>
                <ns5:e>
                  <ns5:r>
                    <ns5:t>S</ns5:t>
                  </ns5:r>
                </ns5:e>
                <ns5:sub>
                  <ns5:r>
                    <ns5:rPr>
                      <ns5:nor/>
                      <ns5:sty ns5:val="p"/>
                    </ns5:rPr>
                    <ns5:t>error</ns5:t>
                  </ns5:r>
                </ns5:sub>
              </ns5:sSub>
              <ns5:r>
                <ns5:rPr>
                  <ns5:sty ns5:val="p"/>
                </ns5:rPr>
                <ns5:t>/</ns5:t>
              </ns5:r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N</ns5:t>
                  </ns5:r>
                  <ns5:r>
                    <ns5:rPr>
                      <ns5:sty ns5:val="p"/>
                    </ns5:rPr>
                    <ns5:t>−</ns5:t>
                  </ns5:r>
                  <ns5:r>
                    <ns5:t>k</ns5:t>
                  </ns5:r>
                </ns5:e>
              </ns5:d>
            </ns5:den>
          </ns5:f>
        </ns5:oMath>
      </ns5:oMathPara>
    </w:p>
    <w:p>
      <w:pPr>
        <w:pStyle w:val="FirstParagraph"/>
      </w:pPr>
      <w:r>
        <w:t xml:space="preserve">Me saktësisht dy grupe të pavarura, ky test njëfaktorial me efekte fikse dhe testi t i dyanshëm për kampione të pavarura me variancë të bashkuar janë të barasvlershëm vetëm kur përdorin të njëjtin model me varianca të barabarta:</w:t>
      </w:r>
    </w:p>
    <w:p>
      <w:pPr>
        <w:pStyle w:val="BodyText"/>
      </w:pPr>
      <ns5:oMathPara>
        <ns5:oMathParaPr>
          <ns5:jc ns5:val="center"/>
        </ns5:oMathParaPr>
        <ns5:oMath>
          <ns5:r>
            <ns5:t>F</ns5:t>
          </ns5:r>
          <ns5:d>
            <ns5:dPr>
              <ns5:begChr ns5:val="("/>
              <ns5:sepChr ns5:val=""/>
              <ns5:endChr ns5:val=")"/>
              <ns5:grow/>
            </ns5:dPr>
            <ns5:e>
              <ns5:r>
                <ns5:t>1</ns5:t>
              </ns5:r>
              <ns5:r>
                <ns5:rPr>
                  <ns5:sty ns5:val="p"/>
                </ns5:rPr>
                <ns5:t>,</ns5:t>
              </ns5:r>
              <ns5:r>
                <ns5:t>N</ns5:t>
              </ns5:r>
              <ns5:r>
                <ns5:rPr>
                  <ns5:sty ns5:val="p"/>
                </ns5:rPr>
                <ns5:t>−</ns5:t>
              </ns5:r>
              <ns5:r>
                <ns5:t>2</ns5:t>
              </ns5:r>
            </ns5:e>
          </ns5:d>
          <ns5:r>
            <ns5:rPr>
              <ns5:sty ns5:val="p"/>
            </ns5:rPr>
            <ns5:t>=</ns5:t>
          </ns5:r>
          <ns5:r>
            <ns5:t>t</ns5:t>
          </ns5:r>
          <ns5:sSup>
            <ns5:e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N</ns5:t>
                  </ns5:r>
                  <ns5:r>
                    <ns5:rPr>
                      <ns5:sty ns5:val="p"/>
                    </ns5:rPr>
                    <ns5:t>−</ns5:t>
                  </ns5:r>
                  <ns5:r>
                    <ns5:t>2</ns5:t>
                  </ns5:r>
                </ns5:e>
              </ns5:d>
            </ns5:e>
            <ns5:sup>
              <ns5:r>
                <ns5:t>2</ns5:t>
              </ns5:r>
            </ns5:sup>
          </ns5:sSup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Rezultati i përgjithshëm e bashkërendon krahasimin e grupeve, por nuk i identifikon mesataret që ndryshojnë. Një</w:t>
      </w:r>
      <w:r>
        <w:t xml:space="preserve"> </w:t>
      </w:r>
      <w:r>
        <w:rPr>
          <w:b/>
          <w:bCs/>
        </w:rPr>
        <w:t xml:space="preserve">kontrast</w:t>
      </w:r>
      <w:r>
        <w:t xml:space="preserve"> </w:t>
      </w:r>
      <w:r>
        <w:t xml:space="preserve">i përqendruar i bashkon mesataret e grupeve me pesha që japin shumën zero:</w:t>
      </w:r>
    </w:p>
    <w:p>
      <w:pPr>
        <w:pStyle w:val="BodyText"/>
      </w:pPr>
      <ns5:oMathPara>
        <ns5:oMathParaPr>
          <ns5:jc ns5:val="center"/>
        </ns5:oMathParaPr>
        <ns5:oMath>
          <ns5:r>
            <ns5:t>D</ns5:t>
          </ns5:r>
          <ns5:r>
            <ns5:rPr>
              <ns5:sty ns5:val="p"/>
            </ns5:rPr>
            <ns5:t>=</ns5:t>
          </ns5:r>
          <ns5:nary>
            <ns5:naryPr>
              <ns5:chr ns5:val="∑"/>
              <ns5:limLoc ns5:val="undOvr"/>
              <ns5:subHide ns5:val="off"/>
              <ns5:supHide ns5:val="off"/>
            </ns5:naryPr>
            <ns5:sub>
              <ns5:r>
                <ns5:t>i</ns5:t>
              </ns5:r>
              <ns5:r>
                <ns5:rPr>
                  <ns5:sty ns5:val="p"/>
                </ns5:rPr>
                <ns5:t>=</ns5:t>
              </ns5:r>
              <ns5:r>
                <ns5:t>1</ns5:t>
              </ns5:r>
            </ns5:sub>
            <ns5:sup>
              <ns5:r>
                <ns5:t>k</ns5:t>
              </ns5:r>
            </ns5:sup>
            <ns5:e>
              <ns5:sSub>
                <ns5:e>
                  <ns5:r>
                    <ns5:t>c</ns5:t>
                  </ns5:r>
                </ns5:e>
                <ns5:sub>
                  <ns5:r>
                    <ns5:t>i</ns5:t>
                  </ns5:r>
                </ns5:sub>
              </ns5:sSub>
            </ns5:e>
          </ns5:nary>
          <ns5:sSub>
            <ns5:e>
              <ns5:acc>
                <ns5:accPr>
                  <ns5:chr ns5:val="‾"/>
                </ns5:accPr>
                <ns5:e>
                  <ns5:r>
                    <ns5:t>y</ns5:t>
                  </ns5:r>
                </ns5:e>
              </ns5:acc>
            </ns5:e>
            <ns5:sub>
              <ns5:r>
                <ns5:t>i</ns5:t>
              </ns5:r>
            </ns5:sub>
          </ns5:sSub>
          <ns5:r>
            <ns5:rPr>
              <ns5:sty ns5:val="p"/>
            </ns5:rPr>
            <ns5:t>,</ns5:t>
          </ns5:r>
          <ns5:r>
            <ns5:t>  </ns5:t>
          </ns5:r>
          <ns5:nary>
            <ns5:naryPr>
              <ns5:chr ns5:val="∑"/>
              <ns5:limLoc ns5:val="undOvr"/>
              <ns5:subHide ns5:val="off"/>
              <ns5:supHide ns5:val="off"/>
            </ns5:naryPr>
            <ns5:sub>
              <ns5:r>
                <ns5:t>i</ns5:t>
              </ns5:r>
              <ns5:r>
                <ns5:rPr>
                  <ns5:sty ns5:val="p"/>
                </ns5:rPr>
                <ns5:t>=</ns5:t>
              </ns5:r>
              <ns5:r>
                <ns5:t>1</ns5:t>
              </ns5:r>
            </ns5:sub>
            <ns5:sup>
              <ns5:r>
                <ns5:t>k</ns5:t>
              </ns5:r>
            </ns5:sup>
            <ns5:e>
              <ns5:sSub>
                <ns5:e>
                  <ns5:r>
                    <ns5:t>c</ns5:t>
                  </ns5:r>
                </ns5:e>
                <ns5:sub>
                  <ns5:r>
                    <ns5:t>i</ns5:t>
                  </ns5:r>
                </ns5:sub>
              </ns5:sSub>
            </ns5:e>
          </ns5:nary>
          <ns5:r>
            <ns5:rPr>
              <ns5:sty ns5:val="p"/>
            </ns5:rPr>
            <ns5:t>=</ns5:t>
          </ns5:r>
          <ns5:r>
            <ns5:t>0</ns5:t>
          </ns5:r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Peshat pozitive dhe negative i vendosin nivelet në anë të kundërta të krahasimit të synuar. Për një dizajn të balancuar me</w:t>
      </w:r>
      <w:r>
        <w:t xml:space="preserve"> </w:t>
      </w:r>
      <ns5:oMath>
        <ns5:r>
          <ns5:t>n</ns5:t>
        </ns5:r>
      </ns5:oMath>
      <w:r>
        <w:t xml:space="preserve"> </w:t>
      </w:r>
      <w:r>
        <w:t xml:space="preserve">raste në secilin nivel, llogaritja e kontrastit që përdoret në materialin e dhënë është</w:t>
      </w:r>
    </w:p>
    <w:p>
      <w:pPr>
        <w:pStyle w:val="BodyText"/>
      </w:pPr>
      <ns5:oMathPara>
        <ns5:oMathParaPr>
          <ns5:jc ns5:val="center"/>
        </ns5:oMathParaPr>
        <ns5:oMath>
          <ns5:r>
            <ns5:t>S</ns5:t>
          </ns5:r>
          <ns5:sSub>
            <ns5:e>
              <ns5:r>
                <ns5:t>S</ns5:t>
              </ns5:r>
            </ns5:e>
            <ns5:sub>
              <ns5:r>
                <ns5:t>D</ns5:t>
              </ns5:r>
            </ns5:sub>
          </ns5:sSub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n</ns5:t>
              </ns5:r>
              <ns5:sSup>
                <ns5:e>
                  <ns5:r>
                    <ns5:t>D</ns5:t>
                  </ns5:r>
                </ns5:e>
                <ns5:sup>
                  <ns5:r>
                    <ns5:t>2</ns5:t>
                  </ns5:r>
                </ns5:sup>
              </ns5:sSup>
            </ns5:num>
            <ns5:den>
              <ns5:nary>
                <ns5:naryPr>
                  <ns5:chr ns5:val="∑"/>
                  <ns5:limLoc ns5:val="undOvr"/>
                  <ns5:subHide ns5:val="off"/>
                  <ns5:supHide ns5:val="on"/>
                </ns5:naryPr>
                <ns5:sub>
                  <ns5:r>
                    <ns5:t>i</ns5:t>
                  </ns5:r>
                </ns5:sub>
                <ns5:sup>
                  <ns5:r>
                    <ns5:t>​</ns5:t>
                  </ns5:r>
                </ns5:sup>
                <ns5:e>
                  <ns5:sSubSup>
                    <ns5:e>
                      <ns5:r>
                        <ns5:t>c</ns5:t>
                      </ns5:r>
                    </ns5:e>
                    <ns5:sub>
                      <ns5:r>
                        <ns5:t>i</ns5:t>
                      </ns5:r>
                    </ns5:sub>
                    <ns5:sup>
                      <ns5:r>
                        <ns5:t>2</ns5:t>
                      </ns5:r>
                    </ns5:sup>
                  </ns5:sSubSup>
                </ns5:e>
              </ns5:nary>
            </ns5:den>
          </ns5:f>
          <ns5:r>
            <ns5:rPr>
              <ns5:sty ns5:val="p"/>
            </ns5:rPr>
            <ns5:t>,</ns5:t>
          </ns5:r>
          <ns5:r>
            <ns5:t>  </ns5:t>
          </ns5:r>
          <ns5:sSub>
            <ns5:e>
              <ns5:r>
                <ns5:t>F</ns5:t>
              </ns5:r>
            </ns5:e>
            <ns5:sub>
              <ns5:r>
                <ns5:t>D</ns5:t>
              </ns5:r>
            </ns5:sub>
          </ns5:sSub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S</ns5:t>
              </ns5:r>
              <ns5:sSub>
                <ns5:e>
                  <ns5:r>
                    <ns5:t>S</ns5:t>
                  </ns5:r>
                </ns5:e>
                <ns5:sub>
                  <ns5:r>
                    <ns5:t>D</ns5:t>
                  </ns5:r>
                </ns5:sub>
              </ns5:sSub>
            </ns5:num>
            <ns5:den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rPr>
                      <ns5:nor/>
                      <ns5:sty ns5:val="p"/>
                    </ns5:rPr>
                    <ns5:t>error</ns5:t>
                  </ns5:r>
                </ns5:sub>
              </ns5:sSub>
            </ns5:den>
          </ns5:f>
          <ns5:r>
            <ns5:rPr>
              <ns5:sty ns5:val="p"/>
            </ns5:rPr>
            <ns5:t>,</ns5:t>
          </ns5:r>
        </ns5:oMath>
      </ns5:oMathPara>
    </w:p>
    <w:p>
      <w:pPr>
        <w:pStyle w:val="FirstParagraph"/>
      </w:pPr>
      <w:r>
        <w:t xml:space="preserve">me 1 shkallë lirie në numërues dhe shkallët e lirisë të gabimit të ANOVA-s së përgjithshme në emërues. Një krahasim quhet i planifikuar vetëm kur peshat e tij janë zgjedhur para se të shqyrtohen rezultatet.</w:t>
      </w:r>
    </w:p>
    <w:p>
      <w:pPr>
        <w:pStyle w:val="BodyText"/>
      </w:pPr>
      <w:r>
        <w:t xml:space="preserve">Numri i çifteve të ndryshme mes</w:t>
      </w:r>
      <w:r>
        <w:t xml:space="preserve"> </w:t>
      </w:r>
      <ns5:oMath>
        <ns5:r>
          <ns5:t>k</ns5:t>
        </ns5:r>
      </ns5:oMath>
      <w:r>
        <w:t xml:space="preserve"> </w:t>
      </w:r>
      <w:r>
        <w:t xml:space="preserve">niveleve është</w:t>
      </w:r>
    </w:p>
    <w:p>
      <w:pPr>
        <w:pStyle w:val="BodyText"/>
      </w:pPr>
      <ns5:oMathPara>
        <ns5:oMathParaPr>
          <ns5:jc ns5:val="center"/>
        </ns5:oMathParaPr>
        <ns5:oMath>
          <ns5:r>
            <ns5:t>m</ns5:t>
          </ns5:r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k</ns5:t>
              </ns5:r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k</ns5:t>
                  </ns5:r>
                  <ns5:r>
                    <ns5:rPr>
                      <ns5:sty ns5:val="p"/>
                    </ns5:rPr>
                    <ns5:t>−</ns5:t>
                  </ns5:r>
                  <ns5:r>
                    <ns5:t>1</ns5:t>
                  </ns5:r>
                </ns5:e>
              </ns5:d>
            </ns5:num>
            <ns5:den>
              <ns5:r>
                <ns5:t>2</ns5:t>
              </ns5:r>
            </ns5:den>
          </ns5:f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Për</w:t>
      </w:r>
      <w:r>
        <w:t xml:space="preserve"> </w:t>
      </w:r>
      <ns5:oMath>
        <ns5:r>
          <ns5:t>m</ns5:t>
        </ns5:r>
      </ns5:oMath>
      <w:r>
        <w:t xml:space="preserve"> </w:t>
      </w:r>
      <w:r>
        <w:t xml:space="preserve">teste reciprokisht të pavarura, secili me probabilitet testor të gabimit të llojit I</w:t>
      </w:r>
      <w:r>
        <w:t xml:space="preserve"> </w:t>
      </w:r>
      <ns5:oMath>
        <ns5:sSub>
          <ns5:e>
            <ns5:r>
              <ns5:t>α</ns5:t>
            </ns5:r>
          </ns5:e>
          <ns5:sub>
            <ns5:r>
              <ns5:rPr>
                <ns5:nor/>
                <ns5:sty ns5:val="p"/>
              </ns5:rPr>
              <ns5:t>test</ns5:t>
            </ns5:r>
          </ns5:sub>
        </ns5:sSub>
      </ns5:oMath>
      <w:r>
        <w:t xml:space="preserve">, norma e saktë e gabimit për familjen e testeve është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α</ns5:t>
              </ns5:r>
            </ns5:e>
            <ns5:sub>
              <ns5:r>
                <ns5:rPr>
                  <ns5:nor/>
                  <ns5:sty ns5:val="p"/>
                </ns5:rPr>
                <ns5:t>family</ns5:t>
              </ns5:r>
            </ns5:sub>
          </ns5:sSub>
          <ns5:r>
            <ns5:rPr>
              <ns5:sty ns5:val="p"/>
            </ns5:rPr>
            <ns5:t>=</ns5:t>
          </ns5:r>
          <ns5:r>
            <ns5:t>1</ns5:t>
          </ns5:r>
          <ns5:r>
            <ns5:rPr>
              <ns5:sty ns5:val="p"/>
            </ns5:rPr>
            <ns5:t>−</ns5:t>
          </ns5:r>
          <ns5:sSup>
            <ns5:e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1</ns5:t>
                  </ns5:r>
                  <ns5:r>
                    <ns5:rPr>
                      <ns5:sty ns5:val="p"/>
                    </ns5:rPr>
                    <ns5:t>−</ns5:t>
                  </ns5:r>
                  <ns5:sSub>
                    <ns5:e>
                      <ns5:r>
                        <ns5:t>α</ns5:t>
                      </ns5:r>
                    </ns5:e>
                    <ns5:sub>
                      <ns5:r>
                        <ns5:rPr>
                          <ns5:nor/>
                          <ns5:sty ns5:val="p"/>
                        </ns5:rPr>
                        <ns5:t>test</ns5:t>
                      </ns5:r>
                    </ns5:sub>
                  </ns5:sSub>
                </ns5:e>
              </ns5:d>
            </ns5:e>
            <ns5:sup>
              <ns5:r>
                <ns5:t>m</ns5:t>
              </ns5:r>
            </ns5:sup>
          </ns5:sSup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Zgjidhja e kësaj marrëdhënieje për një nivel familjar të synuar jep pragun Sidak, ndërsa Bonferroni jep një kufi që nuk kërkon teste të pavarura: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α</ns5:t>
              </ns5:r>
            </ns5:e>
            <ns5:sub>
              <ns5:r>
                <ns5:rPr>
                  <ns5:nor/>
                  <ns5:sty ns5:val="p"/>
                </ns5:rPr>
                <ns5:t>test,Sidak</ns5:t>
              </ns5:r>
            </ns5:sub>
          </ns5:sSub>
          <ns5:r>
            <ns5:rPr>
              <ns5:sty ns5:val="p"/>
            </ns5:rPr>
            <ns5:t>=</ns5:t>
          </ns5:r>
          <ns5:r>
            <ns5:t>1</ns5:t>
          </ns5:r>
          <ns5:r>
            <ns5:rPr>
              <ns5:sty ns5:val="p"/>
            </ns5:rPr>
            <ns5:t>−</ns5:t>
          </ns5:r>
          <ns5:sSup>
            <ns5:e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1</ns5:t>
                  </ns5:r>
                  <ns5:r>
                    <ns5:rPr>
                      <ns5:sty ns5:val="p"/>
                    </ns5:rPr>
                    <ns5:t>−</ns5:t>
                  </ns5:r>
                  <ns5:sSub>
                    <ns5:e>
                      <ns5:r>
                        <ns5:t>α</ns5:t>
                      </ns5:r>
                    </ns5:e>
                    <ns5:sub>
                      <ns5:r>
                        <ns5:rPr>
                          <ns5:nor/>
                          <ns5:sty ns5:val="p"/>
                        </ns5:rPr>
                        <ns5:t>family</ns5:t>
                      </ns5:r>
                    </ns5:sub>
                  </ns5:sSub>
                </ns5:e>
              </ns5:d>
            </ns5:e>
            <ns5:sup>
              <ns5:r>
                <ns5:t>1</ns5:t>
              </ns5:r>
              <ns5:r>
                <ns5:rPr>
                  <ns5:sty ns5:val="p"/>
                </ns5:rPr>
                <ns5:t>/</ns5:t>
              </ns5:r>
              <ns5:r>
                <ns5:t>m</ns5:t>
              </ns5:r>
            </ns5:sup>
          </ns5:sSup>
          <ns5:r>
            <ns5:rPr>
              <ns5:sty ns5:val="p"/>
            </ns5:rPr>
            <ns5:t>,</ns5:t>
          </ns5:r>
          <ns5:r>
            <ns5:t>  </ns5:t>
          </ns5:r>
          <ns5:sSub>
            <ns5:e>
              <ns5:r>
                <ns5:t>α</ns5:t>
              </ns5:r>
            </ns5:e>
            <ns5:sub>
              <ns5:r>
                <ns5:rPr>
                  <ns5:nor/>
                  <ns5:sty ns5:val="p"/>
                </ns5:rPr>
                <ns5:t>test,Bonferroni</ns5:t>
              </ns5:r>
            </ns5:sub>
          </ns5:sSub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sSub>
                <ns5:e>
                  <ns5:r>
                    <ns5:t>α</ns5:t>
                  </ns5:r>
                </ns5:e>
                <ns5:sub>
                  <ns5:r>
                    <ns5:rPr>
                      <ns5:nor/>
                      <ns5:sty ns5:val="p"/>
                    </ns5:rPr>
                    <ns5:t>family</ns5:t>
                  </ns5:r>
                </ns5:sub>
              </ns5:sSub>
            </ns5:num>
            <ns5:den>
              <ns5:r>
                <ns5:t>m</ns5:t>
              </ns5:r>
            </ns5:den>
          </ns5:f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Barazia Sidak është e saktë vetëm për teste reciprokisht të pavarura. Krahasimet dyshe që kanë grupe të përbashkëta zakonisht janë të varura. Bonferroni e kontrollon gabimin familjar përmes një kufiri të sipërm pa këtë kërkesë për pavarësi, megjithëse mund të jetë konservativ.</w:t>
      </w:r>
    </w:p>
    <w:p>
      <w:pPr>
        <w:pStyle w:val="BodyText"/>
      </w:pPr>
      <w:r>
        <w:t xml:space="preserve">Një ANOVA me dy faktorë fiksë e shkruan rezultatin e një qelize si mesatare të përgjithshme, dy përbërës të efekteve kryesore, ndërveprimin e tyre dhe gabimin individual: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y</ns5:t>
              </ns5:r>
            </ns5:e>
            <ns5:sub>
              <ns5:r>
                <ns5:t>i</ns5:t>
              </ns5:r>
              <ns5:r>
                <ns5:t>j</ns5:t>
              </ns5:r>
              <ns5:r>
                <ns5:t>m</ns5:t>
              </ns5:r>
            </ns5:sub>
          </ns5:sSub>
          <ns5:r>
            <ns5:rPr>
              <ns5:sty ns5:val="p"/>
            </ns5:rPr>
            <ns5:t>=</ns5:t>
          </ns5:r>
          <ns5:r>
            <ns5:t>μ</ns5:t>
          </ns5:r>
          <ns5:r>
            <ns5:rPr>
              <ns5:sty ns5:val="p"/>
            </ns5:rPr>
            <ns5:t>+</ns5:t>
          </ns5:r>
          <ns5:sSub>
            <ns5:e>
              <ns5:r>
                <ns5:t>α</ns5:t>
              </ns5:r>
            </ns5:e>
            <ns5:sub>
              <ns5:r>
                <ns5:t>i</ns5:t>
              </ns5:r>
            </ns5:sub>
          </ns5:sSub>
          <ns5:r>
            <ns5:rPr>
              <ns5:sty ns5:val="p"/>
            </ns5:rPr>
            <ns5:t>+</ns5:t>
          </ns5:r>
          <ns5:sSub>
            <ns5:e>
              <ns5:r>
                <ns5:t>β</ns5:t>
              </ns5:r>
            </ns5:e>
            <ns5:sub>
              <ns5:r>
                <ns5:t>j</ns5:t>
              </ns5:r>
            </ns5:sub>
          </ns5:sSub>
          <ns5:r>
            <ns5:rPr>
              <ns5:sty ns5:val="p"/>
            </ns5:rPr>
            <ns5:t>+</ns5:t>
          </ns5:r>
          <ns5:sSub>
            <ns5:e>
              <ns5:d>
                <ns5:dPr>
                  <ns5:begChr ns5:val="("/>
                  <ns5:sepChr ns5:val=""/>
                  <ns5:endChr ns5:val=")"/>
                  <ns5:grow/>
                </ns5:dPr>
                <ns5:e>
                  <ns5:r>
                    <ns5:t>α</ns5:t>
                  </ns5:r>
                  <ns5:r>
                    <ns5:t>β</ns5:t>
                  </ns5:r>
                </ns5:e>
              </ns5:d>
            </ns5:e>
            <ns5:sub>
              <ns5:r>
                <ns5:t>i</ns5:t>
              </ns5:r>
              <ns5:r>
                <ns5:t>j</ns5:t>
              </ns5:r>
            </ns5:sub>
          </ns5:sSub>
          <ns5:r>
            <ns5:rPr>
              <ns5:sty ns5:val="p"/>
            </ns5:rPr>
            <ns5:t>+</ns5:t>
          </ns5:r>
          <ns5:sSub>
            <ns5:e>
              <ns5:r>
                <ns5:t>ε</ns5:t>
              </ns5:r>
            </ns5:e>
            <ns5:sub>
              <ns5:r>
                <ns5:t>i</ns5:t>
              </ns5:r>
              <ns5:r>
                <ns5:t>j</ns5:t>
              </ns5:r>
              <ns5:r>
                <ns5:t>m</ns5:t>
              </ns5:r>
            </ns5:sub>
          </ns5:sSub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Një</w:t>
      </w:r>
      <w:r>
        <w:t xml:space="preserve"> </w:t>
      </w:r>
      <w:r>
        <w:rPr>
          <w:b/>
          <w:bCs/>
        </w:rPr>
        <w:t xml:space="preserve">mesatare qelize</w:t>
      </w:r>
      <w:r>
        <w:t xml:space="preserve"> </w:t>
      </w:r>
      <w:r>
        <w:t xml:space="preserve">i përket një kombinimi të saktë të niveleve të faktorëve. Një</w:t>
      </w:r>
      <w:r>
        <w:t xml:space="preserve"> </w:t>
      </w:r>
      <w:r>
        <w:rPr>
          <w:b/>
          <w:bCs/>
        </w:rPr>
        <w:t xml:space="preserve">mesatare margjinale</w:t>
      </w:r>
      <w:r>
        <w:t xml:space="preserve"> </w:t>
      </w:r>
      <w:r>
        <w:t xml:space="preserve">është mesatarja nëpër qelizat që i përkasin një niveli të një faktori. Efektet kryesore krahasojnë mesataret margjinale. Ndërveprimi pyet nëse efekti i një faktori ndryshon nëpër nivelet e faktorit tjetër, pra bën një pyetje për dallimin e dallimeve. Profilet joparalele të mesatareve tregojnë një model ndërveprimi; vijat nuk kanë pse të kryqëzohen.</w:t>
      </w:r>
    </w:p>
    <w:p>
      <w:pPr>
        <w:pStyle w:val="BodyText"/>
      </w:pPr>
      <w:r>
        <w:t xml:space="preserve">Për një model njëfaktorial të balancuar me faktor të rastësishëm dhe</w:t>
      </w:r>
      <w:r>
        <w:t xml:space="preserve"> </w:t>
      </w:r>
      <ns5:oMath>
        <ns5:r>
          <ns5:t>n</ns5:t>
        </ns5:r>
      </ns5:oMath>
      <w:r>
        <w:t xml:space="preserve"> </w:t>
      </w:r>
      <w:r>
        <w:t xml:space="preserve">vrojtime në secilin nivel të kampionuar, materiali i dhënë i vlerëson përbërësit e variancës mes niveleve dhe brenda niveleve me</w:t>
      </w:r>
    </w:p>
    <w:p>
      <w:pPr>
        <w:pStyle w:val="BodyText"/>
      </w:pPr>
      <ns5:oMathPara>
        <ns5:oMathParaPr>
          <ns5:jc ns5:val="center"/>
        </ns5:oMathParaPr>
        <ns5:oMath>
          <ns5:sSubSup>
            <ns5:e>
              <ns5:acc>
                <ns5:accPr>
                  <ns5:chr ns5:val="̂"/>
                </ns5:accPr>
                <ns5:e>
                  <ns5:r>
                    <ns5:t>σ</ns5:t>
                  </ns5:r>
                </ns5:e>
              </ns5:acc>
            </ns5:e>
            <ns5:sub>
              <ns5:r>
                <ns5:t>A</ns5:t>
              </ns5:r>
            </ns5:sub>
            <ns5:sup>
              <ns5:r>
                <ns5:t>2</ns5:t>
              </ns5:r>
            </ns5:sup>
          </ns5:sSubSup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t>A</ns5:t>
                  </ns5:r>
                </ns5:sub>
              </ns5:sSub>
              <ns5:r>
                <ns5:rPr>
                  <ns5:sty ns5:val="p"/>
                </ns5:rPr>
                <ns5:t>−</ns5:t>
              </ns5:r>
              <ns5:r>
                <ns5:t>M</ns5:t>
              </ns5:r>
              <ns5:sSub>
                <ns5:e>
                  <ns5:r>
                    <ns5:t>S</ns5:t>
                  </ns5:r>
                </ns5:e>
                <ns5:sub>
                  <ns5:r>
                    <ns5:rPr>
                      <ns5:nor/>
                      <ns5:sty ns5:val="p"/>
                    </ns5:rPr>
                    <ns5:t>error</ns5:t>
                  </ns5:r>
                </ns5:sub>
              </ns5:sSub>
            </ns5:num>
            <ns5:den>
              <ns5:r>
                <ns5:t>n</ns5:t>
              </ns5:r>
            </ns5:den>
          </ns5:f>
          <ns5:r>
            <ns5:rPr>
              <ns5:sty ns5:val="p"/>
            </ns5:rPr>
            <ns5:t>,</ns5:t>
          </ns5:r>
          <ns5:r>
            <ns5:t>  </ns5:t>
          </ns5:r>
          <ns5:sSubSup>
            <ns5:e>
              <ns5:acc>
                <ns5:accPr>
                  <ns5:chr ns5:val="̂"/>
                </ns5:accPr>
                <ns5:e>
                  <ns5:r>
                    <ns5:t>σ</ns5:t>
                  </ns5:r>
                </ns5:e>
              </ns5:acc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  <ns5:sup>
              <ns5:r>
                <ns5:t>2</ns5:t>
              </ns5:r>
            </ns5:sup>
          </ns5:sSubSup>
          <ns5:r>
            <ns5:rPr>
              <ns5:sty ns5:val="p"/>
            </ns5:rPr>
            <ns5:t>=</ns5:t>
          </ns5:r>
          <ns5:r>
            <ns5:t>M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</ns5:sSub>
          <ns5:r>
            <ns5:rPr>
              <ns5:sty ns5:val="p"/>
            </ns5:rPr>
            <ns5:t>,</ns5:t>
          </ns5:r>
        </ns5:oMath>
      </ns5:oMathPara>
    </w:p>
    <w:p>
      <w:pPr>
        <w:pStyle w:val="FirstParagraph"/>
      </w:pPr>
      <w:r>
        <w:t xml:space="preserve">dhe e përmbledh ngjashmërinë brenda niveleve me</w:t>
      </w:r>
    </w:p>
    <w:p>
      <w:pPr>
        <w:pStyle w:val="BodyText"/>
      </w:pPr>
      <ns5:oMathPara>
        <ns5:oMathParaPr>
          <ns5:jc ns5:val="center"/>
        </ns5:oMathParaPr>
        <ns5:oMath>
          <ns5:r>
            <ns5:t>I</ns5:t>
          </ns5:r>
          <ns5:r>
            <ns5:t>C</ns5:t>
          </ns5:r>
          <ns5:r>
            <ns5:t>C</ns5:t>
          </ns5:r>
          <ns5:r>
            <ns5:rPr>
              <ns5:sty ns5:val="p"/>
            </ns5:rPr>
            <ns5:t>=</ns5:t>
          </ns5:r>
          <ns5:f>
            <ns5:fPr>
              <ns5:type ns5:val="bar"/>
            </ns5:fPr>
            <ns5:num>
              <ns5:sSubSup>
                <ns5:e>
                  <ns5:acc>
                    <ns5:accPr>
                      <ns5:chr ns5:val="̂"/>
                    </ns5:accPr>
                    <ns5:e>
                      <ns5:r>
                        <ns5:t>σ</ns5:t>
                      </ns5:r>
                    </ns5:e>
                  </ns5:acc>
                </ns5:e>
                <ns5:sub>
                  <ns5:r>
                    <ns5:t>A</ns5:t>
                  </ns5:r>
                </ns5:sub>
                <ns5:sup>
                  <ns5:r>
                    <ns5:t>2</ns5:t>
                  </ns5:r>
                </ns5:sup>
              </ns5:sSubSup>
            </ns5:num>
            <ns5:den>
              <ns5:sSubSup>
                <ns5:e>
                  <ns5:acc>
                    <ns5:accPr>
                      <ns5:chr ns5:val="̂"/>
                    </ns5:accPr>
                    <ns5:e>
                      <ns5:r>
                        <ns5:t>σ</ns5:t>
                      </ns5:r>
                    </ns5:e>
                  </ns5:acc>
                </ns5:e>
                <ns5:sub>
                  <ns5:r>
                    <ns5:t>A</ns5:t>
                  </ns5:r>
                </ns5:sub>
                <ns5:sup>
                  <ns5:r>
                    <ns5:t>2</ns5:t>
                  </ns5:r>
                </ns5:sup>
              </ns5:sSubSup>
              <ns5:r>
                <ns5:rPr>
                  <ns5:sty ns5:val="p"/>
                </ns5:rPr>
                <ns5:t>+</ns5:t>
              </ns5:r>
              <ns5:sSubSup>
                <ns5:e>
                  <ns5:acc>
                    <ns5:accPr>
                      <ns5:chr ns5:val="̂"/>
                    </ns5:accPr>
                    <ns5:e>
                      <ns5:r>
                        <ns5:t>σ</ns5:t>
                      </ns5:r>
                    </ns5:e>
                  </ns5:acc>
                </ns5:e>
                <ns5:sub>
                  <ns5:r>
                    <ns5:rPr>
                      <ns5:nor/>
                      <ns5:sty ns5:val="p"/>
                    </ns5:rPr>
                    <ns5:t>error</ns5:t>
                  </ns5:r>
                </ns5:sub>
                <ns5:sup>
                  <ns5:r>
                    <ns5:t>2</ns5:t>
                  </ns5:r>
                </ns5:sup>
              </ns5:sSubSup>
            </ns5:den>
          </ns5:f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Këto ekuacione i përkasin atij modeli njëfaktorial të balancuar me faktor të rastësishëm. Ato nuk përbëjnë një formulë universale të ICC-së për çdo dizajn të grupuar ose me matje të përsëritura.</w:t>
      </w:r>
    </w:p>
    <w:p>
      <w:pPr>
        <w:pStyle w:val="BodyText"/>
      </w:pPr>
      <w:r>
        <w:t xml:space="preserve">Për një faktor të përsëritur, termi i personit e ruan lidhjen mes matjeve të të njëjtit person:</w:t>
      </w:r>
    </w:p>
    <w:p>
      <w:pPr>
        <w:pStyle w:val="BodyText"/>
      </w:pPr>
      <ns5:oMathPara>
        <ns5:oMathParaPr>
          <ns5:jc ns5:val="center"/>
        </ns5:oMathParaPr>
        <ns5:oMath>
          <ns5:sSub>
            <ns5:e>
              <ns5:r>
                <ns5:t>y</ns5:t>
              </ns5:r>
            </ns5:e>
            <ns5:sub>
              <ns5:r>
                <ns5:t>i</ns5:t>
              </ns5:r>
              <ns5:r>
                <ns5:t>m</ns5:t>
              </ns5:r>
            </ns5:sub>
          </ns5:sSub>
          <ns5:r>
            <ns5:rPr>
              <ns5:sty ns5:val="p"/>
            </ns5:rPr>
            <ns5:t>=</ns5:t>
          </ns5:r>
          <ns5:r>
            <ns5:t>μ</ns5:t>
          </ns5:r>
          <ns5:r>
            <ns5:rPr>
              <ns5:sty ns5:val="p"/>
            </ns5:rPr>
            <ns5:t>+</ns5:t>
          </ns5:r>
          <ns5:sSub>
            <ns5:e>
              <ns5:r>
                <ns5:t>α</ns5:t>
              </ns5:r>
            </ns5:e>
            <ns5:sub>
              <ns5:r>
                <ns5:t>i</ns5:t>
              </ns5:r>
            </ns5:sub>
          </ns5:sSub>
          <ns5:r>
            <ns5:rPr>
              <ns5:sty ns5:val="p"/>
            </ns5:rPr>
            <ns5:t>+</ns5:t>
          </ns5:r>
          <ns5:sSub>
            <ns5:e>
              <ns5:r>
                <ns5:t>π</ns5:t>
              </ns5:r>
            </ns5:e>
            <ns5:sub>
              <ns5:r>
                <ns5:t>m</ns5:t>
              </ns5:r>
            </ns5:sub>
          </ns5:sSub>
          <ns5:r>
            <ns5:rPr>
              <ns5:sty ns5:val="p"/>
            </ns5:rPr>
            <ns5:t>+</ns5:t>
          </ns5:r>
          <ns5:sSub>
            <ns5:e>
              <ns5:r>
                <ns5:t>ε</ns5:t>
              </ns5:r>
            </ns5:e>
            <ns5:sub>
              <ns5:r>
                <ns5:t>i</ns5:t>
              </ns5:r>
              <ns5:r>
                <ns5:t>m</ns5:t>
              </ns5:r>
            </ns5:sub>
          </ns5:sSub>
          <ns5:r>
            <ns5:rPr>
              <ns5:sty ns5:val="p"/>
            </ns5:rPr>
            <ns5:t>,</ns5:t>
          </ns5:r>
        </ns5:oMath>
      </ns5:oMathPara>
    </w:p>
    <w:p>
      <w:pPr>
        <w:pStyle w:val="FirstParagraph"/>
      </w:pPr>
      <w:r>
        <w:t xml:space="preserve">ku</w:t>
      </w:r>
      <w:r>
        <w:t xml:space="preserve"> </w:t>
      </w:r>
      <ns5:oMath>
        <ns5:sSub>
          <ns5:e>
            <ns5:r>
              <ns5:t>α</ns5:t>
            </ns5:r>
          </ns5:e>
          <ns5:sub>
            <ns5:r>
              <ns5:t>i</ns5:t>
            </ns5:r>
          </ns5:sub>
        </ns5:sSub>
      </ns5:oMath>
      <w:r>
        <w:t xml:space="preserve"> </w:t>
      </w:r>
      <w:r>
        <w:t xml:space="preserve">është përbërësi fiks i rastit të matjes ose kushtit dhe</w:t>
      </w:r>
      <w:r>
        <w:t xml:space="preserve"> </w:t>
      </w:r>
      <ns5:oMath>
        <ns5:sSub>
          <ns5:e>
            <ns5:r>
              <ns5:t>π</ns5:t>
            </ns5:r>
          </ns5:e>
          <ns5:sub>
            <ns5:r>
              <ns5:t>m</ns5:t>
            </ns5:r>
          </ns5:sub>
        </ns5:sSub>
      </ns5:oMath>
      <w:r>
        <w:t xml:space="preserve"> </w:t>
      </w:r>
      <w:r>
        <w:t xml:space="preserve">është përbërësi i rastësishëm i personit. Ndarja përkatëse e ndryshueshmërisë është</w:t>
      </w:r>
    </w:p>
    <w:p>
      <w:pPr>
        <w:pStyle w:val="BodyText"/>
      </w:pPr>
      <ns5:oMathPara>
        <ns5:oMathParaPr>
          <ns5:jc ns5:val="center"/>
        </ns5:oMathParaPr>
        <ns5:oMath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total</ns5:t>
              </ns5:r>
            </ns5:sub>
          </ns5:sSub>
          <ns5:r>
            <ns5:rPr>
              <ns5:sty ns5:val="p"/>
            </ns5:rPr>
            <ns5:t>=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condition</ns5:t>
              </ns5:r>
            </ns5:sub>
          </ns5:sSub>
          <ns5:r>
            <ns5:rPr>
              <ns5:sty ns5:val="p"/>
            </ns5:rPr>
            <ns5:t>+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person</ns5:t>
              </ns5:r>
            </ns5:sub>
          </ns5:sSub>
          <ns5:r>
            <ns5:rPr>
              <ns5:sty ns5:val="p"/>
            </ns5:rPr>
            <ns5:t>+</ns5:t>
          </ns5:r>
          <ns5:r>
            <ns5:t>S</ns5:t>
          </ns5:r>
          <ns5:sSub>
            <ns5:e>
              <ns5:r>
                <ns5:t>S</ns5:t>
              </ns5:r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</ns5:sSub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Për dy nivele të përsëritura</w:t>
      </w:r>
      <w:r>
        <w:t xml:space="preserve"> </w:t>
      </w:r>
      <ns5:oMath>
        <ns5:r>
          <ns5:t>j</ns5:t>
        </ns5:r>
      </ns5:oMath>
      <w:r>
        <w:t xml:space="preserve"> </w:t>
      </w:r>
      <w:r>
        <w:t xml:space="preserve">dhe</w:t>
      </w:r>
      <w:r>
        <w:t xml:space="preserve"> </w:t>
      </w:r>
      <ns5:oMath>
        <ns5:r>
          <ns5:t>k</ns5:t>
        </ns5:r>
      </ns5:oMath>
      <w:r>
        <w:t xml:space="preserve">, varianca e dallimit brenda personit është</w:t>
      </w:r>
    </w:p>
    <w:p>
      <w:pPr>
        <w:pStyle w:val="BodyText"/>
      </w:pPr>
      <ns5:oMathPara>
        <ns5:oMathParaPr>
          <ns5:jc ns5:val="center"/>
        </ns5:oMathParaPr>
        <ns5:oMath>
          <ns5:r>
            <ns5:t>V</ns5:t>
          </ns5:r>
          <ns5:r>
            <ns5:t>a</ns5:t>
          </ns5:r>
          <ns5:r>
            <ns5:t>r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Y</ns5:t>
                  </ns5:r>
                </ns5:e>
                <ns5:sub>
                  <ns5:r>
                    <ns5:t>j</ns5:t>
                  </ns5:r>
                </ns5:sub>
              </ns5:sSub>
              <ns5:r>
                <ns5:rPr>
                  <ns5:sty ns5:val="p"/>
                </ns5:rPr>
                <ns5:t>−</ns5:t>
              </ns5:r>
              <ns5:sSub>
                <ns5:e>
                  <ns5:r>
                    <ns5:t>Y</ns5:t>
                  </ns5:r>
                </ns5:e>
                <ns5:sub>
                  <ns5:r>
                    <ns5:t>k</ns5:t>
                  </ns5:r>
                </ns5:sub>
              </ns5:sSub>
            </ns5:e>
          </ns5:d>
          <ns5:r>
            <ns5:rPr>
              <ns5:sty ns5:val="p"/>
            </ns5:rPr>
            <ns5:t>=</ns5:t>
          </ns5:r>
          <ns5:r>
            <ns5:t>V</ns5:t>
          </ns5:r>
          <ns5:r>
            <ns5:t>a</ns5:t>
          </ns5:r>
          <ns5:r>
            <ns5:t>r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Y</ns5:t>
                  </ns5:r>
                </ns5:e>
                <ns5:sub>
                  <ns5:r>
                    <ns5:t>j</ns5:t>
                  </ns5:r>
                </ns5:sub>
              </ns5:sSub>
            </ns5:e>
          </ns5:d>
          <ns5:r>
            <ns5:rPr>
              <ns5:sty ns5:val="p"/>
            </ns5:rPr>
            <ns5:t>+</ns5:t>
          </ns5:r>
          <ns5:r>
            <ns5:t>V</ns5:t>
          </ns5:r>
          <ns5:r>
            <ns5:t>a</ns5:t>
          </ns5:r>
          <ns5:r>
            <ns5:t>r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Y</ns5:t>
                  </ns5:r>
                </ns5:e>
                <ns5:sub>
                  <ns5:r>
                    <ns5:t>k</ns5:t>
                  </ns5:r>
                </ns5:sub>
              </ns5:sSub>
            </ns5:e>
          </ns5:d>
          <ns5:r>
            <ns5:rPr>
              <ns5:sty ns5:val="p"/>
            </ns5:rPr>
            <ns5:t>−</ns5:t>
          </ns5:r>
          <ns5:r>
            <ns5:t>2</ns5:t>
          </ns5:r>
          <ns5:r>
            <ns5:t> </ns5:t>
          </ns5:r>
          <ns5:r>
            <ns5:t>C</ns5:t>
          </ns5:r>
          <ns5:r>
            <ns5:t>o</ns5:t>
          </ns5:r>
          <ns5:r>
            <ns5:t>v</ns5:t>
          </ns5:r>
          <ns5:d>
            <ns5:dPr>
              <ns5:begChr ns5:val="("/>
              <ns5:sepChr ns5:val=""/>
              <ns5:endChr ns5:val=")"/>
              <ns5:grow/>
            </ns5:dPr>
            <ns5:e>
              <ns5:sSub>
                <ns5:e>
                  <ns5:r>
                    <ns5:t>Y</ns5:t>
                  </ns5:r>
                </ns5:e>
                <ns5:sub>
                  <ns5:r>
                    <ns5:t>j</ns5:t>
                  </ns5:r>
                </ns5:sub>
              </ns5:sSub>
              <ns5:r>
                <ns5:rPr>
                  <ns5:sty ns5:val="p"/>
                </ns5:rPr>
                <ns5:t>,</ns5:t>
              </ns5:r>
              <ns5:sSub>
                <ns5:e>
                  <ns5:r>
                    <ns5:t>Y</ns5:t>
                  </ns5:r>
                </ns5:e>
                <ns5:sub>
                  <ns5:r>
                    <ns5:t>k</ns5:t>
                  </ns5:r>
                </ns5:sub>
              </ns5:sSub>
            </ns5:e>
          </ns5:d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Sfericiteti kërkon që variancat në popullatë të të gjitha rezultateve të tilla të dallimeve dyshe të jenë të barabarta. Kur përdoret procedura e deklaruar Greenhouse-Geisser, vlerësimi i saj</w:t>
      </w:r>
      <w:r>
        <w:t xml:space="preserve"> </w:t>
      </w:r>
      <ns5:oMath>
        <ns5:acc>
          <ns5:accPr>
            <ns5:chr ns5:val="̂"/>
          </ns5:accPr>
          <ns5:e>
            <ns5:r>
              <ns5:t>ε</ns5:t>
            </ns5:r>
          </ns5:e>
        </ns5:acc>
        <ns5:r>
          <ns5:rPr>
            <ns5:sty ns5:val="p"/>
          </ns5:rPr>
          <ns5:t>≤</ns5:t>
        </ns5:r>
        <ns5:r>
          <ns5:t>1</ns5:t>
        </ns5:r>
      </ns5:oMath>
      <w:r>
        <w:t xml:space="preserve"> </w:t>
      </w:r>
      <w:r>
        <w:t xml:space="preserve">i zvogëlon të dyja shkallët referuese të lirisë:</w:t>
      </w:r>
    </w:p>
    <w:p>
      <w:pPr>
        <w:pStyle w:val="BodyText"/>
      </w:pPr>
      <ns5:oMathPara>
        <ns5:oMathParaPr>
          <ns5:jc ns5:val="center"/>
        </ns5:oMathParaPr>
        <ns5:oMath>
          <ns5:r>
            <ns5:t>d</ns5:t>
          </ns5:r>
          <ns5:sSubSup>
            <ns5:e>
              <ns5:r>
                <ns5:t>f</ns5:t>
              </ns5:r>
            </ns5:e>
            <ns5:sub>
              <ns5:r>
                <ns5:rPr>
                  <ns5:nor/>
                  <ns5:sty ns5:val="p"/>
                </ns5:rPr>
                <ns5:t>condition</ns5:t>
              </ns5:r>
            </ns5:sub>
            <ns5:sup>
              <ns5:r>
                <ns5:rPr>
                  <ns5:sty ns5:val="p"/>
                </ns5:rPr>
                <ns5:t>*</ns5:t>
              </ns5:r>
            </ns5:sup>
          </ns5:sSubSup>
          <ns5:r>
            <ns5:rPr>
              <ns5:sty ns5:val="p"/>
            </ns5:rPr>
            <ns5:t>=</ns5:t>
          </ns5:r>
          <ns5:acc>
            <ns5:accPr>
              <ns5:chr ns5:val="̂"/>
            </ns5:accPr>
            <ns5:e>
              <ns5:r>
                <ns5:t>ε</ns5:t>
              </ns5:r>
            </ns5:e>
          </ns5:acc>
          <ns5:r>
            <ns5:t> </ns5:t>
          </ns5:r>
          <ns5:r>
            <ns5:t>d</ns5:t>
          </ns5:r>
          <ns5:sSub>
            <ns5:e>
              <ns5:r>
                <ns5:t>f</ns5:t>
              </ns5:r>
            </ns5:e>
            <ns5:sub>
              <ns5:r>
                <ns5:rPr>
                  <ns5:nor/>
                  <ns5:sty ns5:val="p"/>
                </ns5:rPr>
                <ns5:t>condition</ns5:t>
              </ns5:r>
            </ns5:sub>
          </ns5:sSub>
          <ns5:r>
            <ns5:rPr>
              <ns5:sty ns5:val="p"/>
            </ns5:rPr>
            <ns5:t>,</ns5:t>
          </ns5:r>
          <ns5:r>
            <ns5:t>  </ns5:t>
          </ns5:r>
          <ns5:r>
            <ns5:t>d</ns5:t>
          </ns5:r>
          <ns5:sSubSup>
            <ns5:e>
              <ns5:r>
                <ns5:t>f</ns5:t>
              </ns5:r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  <ns5:sup>
              <ns5:r>
                <ns5:rPr>
                  <ns5:sty ns5:val="p"/>
                </ns5:rPr>
                <ns5:t>*</ns5:t>
              </ns5:r>
            </ns5:sup>
          </ns5:sSubSup>
          <ns5:r>
            <ns5:rPr>
              <ns5:sty ns5:val="p"/>
            </ns5:rPr>
            <ns5:t>=</ns5:t>
          </ns5:r>
          <ns5:acc>
            <ns5:accPr>
              <ns5:chr ns5:val="̂"/>
            </ns5:accPr>
            <ns5:e>
              <ns5:r>
                <ns5:t>ε</ns5:t>
              </ns5:r>
            </ns5:e>
          </ns5:acc>
          <ns5:r>
            <ns5:t> </ns5:t>
          </ns5:r>
          <ns5:r>
            <ns5:t>d</ns5:t>
          </ns5:r>
          <ns5:sSub>
            <ns5:e>
              <ns5:r>
                <ns5:t>f</ns5:t>
              </ns5:r>
            </ns5:e>
            <ns5:sub>
              <ns5:r>
                <ns5:rPr>
                  <ns5:nor/>
                  <ns5:sty ns5:val="p"/>
                </ns5:rPr>
                <ns5:t>error</ns5:t>
              </ns5:r>
            </ns5:sub>
          </ns5:sSub>
          <ns5:r>
            <ns5:rPr>
              <ns5:sty ns5:val="p"/>
            </ns5:rPr>
            <ns5:t>.</ns5:t>
          </ns5:r>
        </ns5:oMath>
      </ns5:oMathPara>
    </w:p>
    <w:p>
      <w:pPr>
        <w:pStyle w:val="FirstParagraph"/>
      </w:pPr>
      <w:r>
        <w:t xml:space="preserve">Statistika e vrojtuar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nuk ndryshon. Ndryshojnë shkallët referuese të lirisë dhe vlera p ose vlera kritike që del prej tyre.</w:t>
      </w:r>
    </w:p>
    <w:tbl>
      <w:tblPr>
        <w:tblStyle w:val="RatiomeraTable"/>
        <w:tblW w:w="9524" w:type="dxa"/>
        <w:tblBorders>
          <w:top w:val="single" w:sz="6" w:space="0" w:color="9FB2BF"/>
          <w:left w:val="single" w:sz="4" w:space="0" w:color="D4DEE4"/>
          <w:bottom w:val="single" w:sz="6" w:space="0" w:color="9FB2BF"/>
          <w:right w:val="single" w:sz="4" w:space="0" w:color="D4DEE4"/>
          <w:insideH w:val="single" w:sz="4" w:space="0" w:color="D4DEE4"/>
          <w:insideV w:val="single" w:sz="4" w:space="0" w:color="D4DEE4"/>
        </w:tblBorders>
        <w:tblLayout w:val="fixed"/>
        <w:tblCellMar>
          <w:top w:w="70" w:type="dxa"/>
          <w:left w:w="110" w:type="dxa"/>
          <w:bottom w:w="70" w:type="dxa"/>
          <w:right w:w="110" w:type="dxa"/>
        </w:tblCellMar>
        <w:tblLook w:firstRow="1" w:lastRow="0" w:firstColumn="0" w:lastColumn="0" w:noHBand="0" w:noVBand="1" w:val="0220"/>
      </w:tblPr>
      <w:tblGrid>
        <w:gridCol w:w="3238"/>
        <w:gridCol w:w="3143"/>
        <w:gridCol w:w="3143"/>
      </w:tblGrid>
      <w:tr>
        <w:trPr>
          <w:cantSplit/>
          <w:tblHeader w:val="on"/>
        </w:trPr>
        <w:tc>
          <w:tcPr>
            <w:tcW w:w="3238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Pyetja e dizajnit</w:t>
            </w:r>
          </w:p>
        </w:tc>
        <w:tc>
          <w:tcPr>
            <w:tcW w:w="3143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Madhësia ose krahasimi</w:t>
            </w:r>
          </w:p>
        </w:tc>
        <w:tc>
          <w:tcPr>
            <w:tcW w:w="3143" w:type="dxa"/>
            <w:shd w:fill="EAF2F6"/>
            <w:vAlign w:val="center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b/>
                <w:color w:val="183B56"/>
                <w:sz w:val="20"/>
                <w:szCs w:val="20"/>
              </w:rPr>
              <w:t xml:space="preserve">Kufizimi thelbësor</w:t>
            </w:r>
          </w:p>
        </w:tc>
      </w:tr>
      <w:tr>
        <w:trPr>
          <w:cantSplit/>
        </w:trPr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 janë të barabarta të gjitha mesataret fikse të grupeve në popullatë?</w:t>
            </w:r>
          </w:p>
        </w:tc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ns5:oMath>
              <ns5:r>
                <ns5:t>F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përgjithshëm njëfaktorial</w:t>
            </w:r>
          </w:p>
        </w:tc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Hedhja poshtë nuk tregon se cilat mesatare ndryshojnë</w:t>
            </w:r>
          </w:p>
        </w:tc>
      </w:tr>
      <w:tr>
        <w:trPr>
          <w:cantSplit/>
        </w:trPr>
        <w:tc>
          <w:tcPr>
            <w:tcW w:w="323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Cilat mesatare të peshuara e të përcaktuara paraprakisht ndryshojnë?</w:t>
            </w:r>
          </w:p>
        </w:tc>
        <w:tc>
          <w:tcPr>
            <w:tcW w:w="314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Kontrasti i planifikuar</w:t>
            </w:r>
            <w:r>
              <w:rPr>
                <w:sz w:val="20"/>
                <w:szCs w:val="20"/>
              </w:rPr>
              <w:t xml:space="preserve"> </w:t>
            </w:r>
            <ns5:oMath>
              <ns5:r>
                <ns5:t>D</ns5:t>
              </ns5:r>
            </ns5:oMath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dhe</w:t>
            </w:r>
            <w:r>
              <w:rPr>
                <w:sz w:val="20"/>
                <w:szCs w:val="20"/>
              </w:rPr>
              <w:t xml:space="preserve"> </w:t>
            </w:r>
            <ns5:oMath>
              <ns5:sSub>
                <ns5:e>
                  <ns5:r>
                    <ns5:t>F</ns5:t>
                  </ns5:r>
                </ns5:e>
                <ns5:sub>
                  <ns5:r>
                    <ns5:t>D</ns5:t>
                  </ns5:r>
                </ns5:sub>
              </ns5:sSub>
            </ns5:oMath>
          </w:p>
        </w:tc>
        <w:tc>
          <w:tcPr>
            <w:tcW w:w="314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Planifikimi duhet të bëhet para shqyrtimit të rezultateve</w:t>
            </w:r>
          </w:p>
        </w:tc>
      </w:tr>
      <w:tr>
        <w:trPr>
          <w:cantSplit/>
        </w:trPr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 varet efekti i një faktori nga një tjetër?</w:t>
            </w:r>
          </w:p>
        </w:tc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Ndërveprimi faktorial</w:t>
            </w:r>
          </w:p>
        </w:tc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Vetëm efektet kryesore mund ta fshehin modelin e qelizave</w:t>
            </w:r>
          </w:p>
        </w:tc>
      </w:tr>
      <w:tr>
        <w:trPr>
          <w:cantSplit/>
        </w:trPr>
        <w:tc>
          <w:tcPr>
            <w:tcW w:w="3238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Sa ndryshueshmëri u përket niveleve të kampionuara?</w:t>
            </w:r>
          </w:p>
        </w:tc>
        <w:tc>
          <w:tcPr>
            <w:tcW w:w="314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Përbërësi i variancës së faktorit të rastësishëm dhe ICC</w:t>
            </w:r>
          </w:p>
        </w:tc>
        <w:tc>
          <w:tcPr>
            <w:tcW w:w="3143" w:type="dxa"/>
            <w:shd w:fill="FFFFFF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Formula varet nga dizajni i deklaruar me efekte të rastësishme</w:t>
            </w:r>
          </w:p>
        </w:tc>
      </w:tr>
      <w:tr>
        <w:trPr>
          <w:cantSplit/>
        </w:trPr>
        <w:tc>
          <w:tcPr>
            <w:tcW w:w="3238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A ndryshojnë rastet e lidhura të matjes?</w:t>
            </w:r>
          </w:p>
        </w:tc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Efekti i kushtit në matjet e përsëritura</w:t>
            </w:r>
          </w:p>
        </w:tc>
        <w:tc>
          <w:tcPr>
            <w:tcW w:w="3143" w:type="dxa"/>
            <w:shd w:fill="F3F7F9"/>
            <w:vAlign w:val="top"/>
          </w:tcPr>
          <w:p>
            <w:pPr>
              <w:pStyle w:val="Compact"/>
              <w:keepLines/>
              <w:widowControl/>
              <w:spacing w:before="0" w:after="40" w:line="240" w:lineRule="auto"/>
              <w:jc w:val="left"/>
            </w:pPr>
            <w:r>
              <w:rPr>
                <w:sz w:val="20"/>
                <w:szCs w:val="20"/>
              </w:rPr>
              <w:t xml:space="preserve">Varësia brenda personit dhe procedura për sfericitetin kanë rëndësi</w:t>
            </w:r>
          </w:p>
        </w:tc>
      </w:tr>
    </w:tbl>
    <w:bookmarkEnd w:id="32"/>
    <w:bookmarkStart w:id="37" w:name="si-lexohet-figura-shpjeguese"/>
    <w:p>
      <w:pPr>
        <w:pStyle w:val="Heading2"/>
      </w:pPr>
      <w:r>
        <w:t xml:space="preserve">Si lexohet figura shpjeguese</w:t>
      </w:r>
    </w:p>
    <w:tbl>
      <w:tblPr>
        <w:tblStyle w:val="Table"/>
        <w:tblW w:w="9524" w:type="dxa"/>
        <w:tblLayout w:val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0" w:noVBand="0" w:val="0000"/>
      </w:tblPr>
      <w:tblGrid>
        <w:gridCol w:w="9524"/>
      </w:tblGrid>
      <w:tr>
        <w:trPr>
          <w:cantSplit/>
        </w:trPr>
        <w:tc>
          <w:tcPr>
            <w:tcW w:w="9524" w:type="dxa"/>
          </w:tcPr>
          <w:bookmarkStart w:id="36" w:name="fig-summary-t08"/>
          <w:p>
            <w:pPr>
              <w:pStyle w:val="Compact"/>
              <w:keepNext/>
              <w:jc w:val="center"/>
            </w:pPr>
            <w:r>
              <w:drawing>
                <ns1:inline>
                  <ns1:extent cx="5561584" cy="3283344"/>
                  <ns1:effectExtent b="0" l="0" r="0" t="0"/>
                  <ns1:docPr descr="Dy shtylla tregojnë shumën e përgjithshme të katrorëve pranë një shtylle po aq të lartë të ndarë në shumat e katrorëve të faktorit dhe gabimit, me etiketa numerike." title="Figura 1" id="34" name="Picture"/>
                  <ns2:graphic>
                    <ns2:graphicData uri="http://schemas.openxmlformats.org/drawingml/2006/picture">
                      <ns3:pic>
                        <ns3:nvPicPr>
                          <ns3:cNvPr descr="assets/topic-08-analysis-of-variance-summary-figure-sq.png" id="35" name="Picture"/>
                          <ns3:cNvPicPr>
                            <ns2:picLocks noChangeArrowheads="1" noChangeAspect="1"/>
                          </ns3:cNvPicPr>
                        </ns3:nvPicPr>
                        <ns3:blipFill>
                          <ns2:blip ns4:embed="rId33"/>
                          <ns2:stretch>
                            <ns2:fillRect/>
                          </ns2:stretch>
                        </ns3:blipFill>
                        <ns3:spPr bwMode="auto">
                          <ns2:xfrm>
                            <ns2:off x="0" y="0"/>
                            <ns2:ext cx="5561584" cy="3283344"/>
                          </ns2:xfrm>
                          <ns2:prstGeom prst="rect">
                            <ns2:avLst/>
                          </ns2:prstGeom>
                          <ns2:noFill/>
                          <ns2:ln w="9525">
                            <ns2:noFill/>
                            <ns2:headEnd/>
                            <ns2:tailEnd/>
                          </ns2:ln>
                        </ns3:spPr>
                      </ns3:pic>
                    </ns2:graphicData>
                  </ns2:graphic>
                </ns1:inline>
              </w:drawing>
            </w:r>
          </w:p>
          <w:p>
            <w:pPr>
              <w:pStyle w:val="ImageCaption"/>
              <w:keepNext/>
              <w:keepLines/>
              <w:widowControl/>
              <w:spacing w:before="120" w:after="80"/>
              <w:jc w:val="left"/>
            </w:pPr>
            <w:r>
              <w:t xml:space="preserve">Figura 1: Dy shtylla tregojnë shumën e përgjithshme të katrorëve pranë një shtylle po aq të lartë të ndarë në shumat e katrorëve të faktorit dhe gabimit, me etiketa numerike.</w:t>
            </w:r>
          </w:p>
          <w:bookmarkEnd w:id="36"/>
        </w:tc>
      </w:tr>
    </w:tbl>
    <w:p>
      <w:pPr>
        <w:pStyle w:val="BodyText"/>
      </w:pPr>
      <w:r>
        <w:t xml:space="preserve">Shtylla e majtë përmban shumën e përgjithshme të katrorëve, 11,350.4. Ajo përfaqëson devijimet e ngritura në katror të secilit pikëzim të vrojtuar nga mesatarja e përgjithshme. Shtylla e djathtë ka të njëjtën lartësi të përgjithshme, por ndahet në pjesë. Segmenti i poshtëm blu është shuma e katrorëve të faktorit, 2,093.5, dhe përfaqëson ndarjen e mesatareve të grupeve. Segmenti i sipërm gri është shuma e katrorëve të gabimit, 9,256.9, dhe përfaqëson dallimet e rasteve rreth mesatareve të grupeve përkatëse.</w:t>
      </w:r>
    </w:p>
    <w:p>
      <w:pPr>
        <w:pStyle w:val="BodyText"/>
      </w:pPr>
      <w:r>
        <w:t xml:space="preserve">Dy etiketat në të djathtë japin së bashku totalin në të majtë. Kjo barazi pamore është identiteti qendror i ANOVA-s. Përbërësi i gabimit është më i madh në këtë grup të dhënash, por testi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nuk i krahason drejtpërdrejt lartësitë e papërpunuara të segmenteve. Secila shumë katrorësh pjesëtohet fillimisht me shkallët e saj të lirisë. Pastaj raporti i mesatareve të katrorëve vlerësohet kundrejt një shpërndarjeje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nën modelin zero.</w:t>
      </w:r>
    </w:p>
    <w:p>
      <w:pPr>
        <w:pStyle w:val="BodyText"/>
      </w:pPr>
      <w:r>
        <w:t xml:space="preserve">Shtyllat nuk tregojnë cila mesatare grupi është më e lartë, cilat çifte ndryshojnë, nëse supozimet për rezidualet janë të arsyeshme ose nëse dizajni mbështet shkakësinë. Këto pyetje kërkojnë grafikun e grupeve, tabelën përshkruese, diagnostikën dhe kontrastet e planifikuara. Vlerat e paraqitura vijnë nga të dhëna mësimore të simuluara dhe prandaj ilustrojnë llogaritjen në vend që të japin evidencë për një popullatë reale.</w:t>
      </w:r>
    </w:p>
    <w:bookmarkEnd w:id="37"/>
    <w:bookmarkStart w:id="38" w:name="lista-e-kontrollit-për-interpretim"/>
    <w:p>
      <w:pPr>
        <w:pStyle w:val="Heading2"/>
      </w:pPr>
      <w:r>
        <w:t xml:space="preserve">Lista e kontrollit për interpretim</w:t>
      </w:r>
    </w:p>
    <w:p>
      <w:pPr>
        <w:pStyle w:val="FirstParagraph"/>
      </w:pPr>
      <w:r>
        <w:t xml:space="preserve">Identifiko faktorin, nivelet, rezultatin, njësinë e analizës dhe strukturën mes grupeve ose të përsëritur. Raporto numërimet e grupeve, mesataret, devijimet standarde dhe një paraqitje të qartë të grupeve. Trego hipotezën zero dhe alternativën e përgjithshme. Kontrollo pavarësinë nga dizajni dhe shqyrto ndryshueshmërinë e rezidualeve dhe vrojtimet e pazakonta. Raporto tabelën e plotë ANOVA me shumat e katrorëve, shkallët e lirisë, mesataret e katrorëve,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dhe vlerën p, të ndjekura nga vlerësimet dhe pasiguria për krahasimet e planifikuara ose të përshtatura.</w:t>
      </w:r>
    </w:p>
    <w:p>
      <w:pPr>
        <w:pStyle w:val="BodyText"/>
      </w:pPr>
      <w:r>
        <w:t xml:space="preserve">Pas një rezultati të përgjithshëm, përgjigju pyetjes përmbajtësore me krahasime të planifikuara ose të përshtatura për shumëfishësinë. Për një dizajn faktorial, interpreto ndërveprimet para se t’i mesatarizosh ato. Për matjet e përsëritura, ruaje varësinë brenda personit dhe trajto procedurën e dokumentuar për sfericitetin. Shmang pohimin se një rezultat jo i rëndësishëm vërteton mesatare të barabarta ose se një rezultat i rëndësishëm vërteton një dallim të rëndësishëm apo shkakor.</w:t>
      </w:r>
    </w:p>
    <w:bookmarkEnd w:id="38"/>
    <w:bookmarkStart w:id="39" w:name="si-lidhet-kjo-temë-me-të-tjerat"/>
    <w:p>
      <w:pPr>
        <w:pStyle w:val="Heading2"/>
      </w:pPr>
      <w:r>
        <w:t xml:space="preserve">Si lidhet kjo temë me të tjerat</w:t>
      </w:r>
    </w:p>
    <w:p>
      <w:pPr>
        <w:pStyle w:val="FirstParagraph"/>
      </w:pPr>
      <w:r>
        <w:t xml:space="preserve">ANOVA e përmbyll rrjedhën mësimore duke u kthyer te varianca, madhësia e paraqitur në statistikën përshkruese. Probabiliteti dhe inferenca shpjegojnë shpërndarjen referuese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dhe procesin e vendimmarrjes. Kovarianca dhe korrelacioni tregojnë si ndajnë ndryshueshmëri lineare ndryshoret. Regresioni i thjeshtë e ndan ndryshueshmërinë e rezultatit në pjesë të përshtatur dhe reziduale. Korrelacioni i pjesshëm dhe regresioni i shumëfishtë shpjegojnë lidhjet e kushtëzuara pasi merret parasysh informacion tjetër.</w:t>
      </w:r>
    </w:p>
    <w:p>
      <w:pPr>
        <w:pStyle w:val="BodyText"/>
      </w:pPr>
      <w:r>
        <w:t xml:space="preserve">Përkatësia në grup në ANOVA mund të kodohet si ndryshore treguese në një model regresioni. Shuma e katrorëve të faktorit është ndryshueshmëri që lidhet me modelin; shuma e katrorëve të gabimit është ndryshueshmëri reziduale; testi i përgjithshëm</w:t>
      </w:r>
      <w:r>
        <w:t xml:space="preserve"> </w:t>
      </w:r>
      <ns5:oMath>
        <ns5:r>
          <ns5:t>F</ns5:t>
        </ns5:r>
      </ns5:oMath>
      <w:r>
        <w:t xml:space="preserve"> </w:t>
      </w:r>
      <w:r>
        <w:t xml:space="preserve">e krahason modelin e plotë të grupeve me një model vetëm me konstantë. Ndërveprimet faktoriale përputhen me ndërveprimet e regresionit dhe kontrastet e planifikuara janë krahasime lineare të synuara të mesatareve të përshtatura. Kjo kornizë e përbashkët kuptohet më mirë si</w:t>
      </w:r>
      <w:r>
        <w:t xml:space="preserve"> </w:t>
      </w:r>
      <w:r>
        <w:rPr>
          <w:b/>
          <w:bCs/>
        </w:rPr>
        <w:t xml:space="preserve">lidhja me modelin e përgjithshëm linear</w:t>
      </w:r>
      <w:r>
        <w:t xml:space="preserve">: temat e mëvonshme janë pamje të ndryshme të mënyrës si informacioni i strukturuar parashikues përdoret për të shpjeguar ndryshueshmërinë e rezultatit, ndërsa pasiguria dhe ndryshueshmëria reziduale mbeten të dukshme.</w:t>
      </w:r>
    </w:p>
    <w:p>
      <w:pPr>
        <w:pBdr>
          <w:bottom w:val="single" w:sz="4" w:space="6" w:color="B8C6CF"/>
        </w:pBdr>
        <w:spacing w:before="60" w:after="100"/>
      </w:pPr>
    </w:p>
    <w:p>
      <w:pPr>
        <w:pStyle w:val="FirstParagraph"/>
      </w:pPr>
      <w:r>
        <w:rPr>
          <w:i/>
          <w:iCs/>
        </w:rPr>
        <w:t xml:space="preserve">ID-ja e dokumentit: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topic-08-analysis-of-variance-summary-sq</w:t>
      </w:r>
    </w:p>
    <w:p>
      <w:r>
        <w:br w:type="page"/>
      </w:r>
    </w:p>
    <w:p>
      <w:pPr>
        <w:pStyle w:val="Heading1"/>
      </w:pPr>
      <w:r>
        <w:t>Shënime 1 nga 3</w:t>
      </w:r>
    </w:p>
    <w:p>
      <w:r>
        <w:rPr>
          <w:color w:val="526A79"/>
          <w:sz w:val="18"/>
          <w:szCs w:val="18"/>
        </w:rPr>
        <w:t>Analiza e variancës | Tema 8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r>
        <w:br w:type="page"/>
      </w:r>
    </w:p>
    <w:p>
      <w:pPr>
        <w:pStyle w:val="Heading1"/>
      </w:pPr>
      <w:r>
        <w:t>Shënime 2 nga 3</w:t>
      </w:r>
    </w:p>
    <w:p>
      <w:r>
        <w:rPr>
          <w:color w:val="526A79"/>
          <w:sz w:val="18"/>
          <w:szCs w:val="18"/>
        </w:rPr>
        <w:t>Analiza e variancës | Tema 8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r>
        <w:br w:type="page"/>
      </w:r>
    </w:p>
    <w:p>
      <w:pPr>
        <w:pStyle w:val="Heading1"/>
      </w:pPr>
      <w:r>
        <w:t>Shënime 3 nga 3</w:t>
      </w:r>
    </w:p>
    <w:p>
      <w:r>
        <w:rPr>
          <w:color w:val="526A79"/>
          <w:sz w:val="18"/>
          <w:szCs w:val="18"/>
        </w:rPr>
        <w:t>Analiza e variancës | Tema 8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p>
      <w:pPr>
        <w:pBdr>
          <w:bottom w:val="single" w:sz="3" w:space="1" w:color="B8C6CF"/>
        </w:pBdr>
        <w:spacing w:before="0" w:after="210"/>
      </w:pPr>
      <w:r>
        <w:t xml:space="preserve"> </w:t>
      </w:r>
    </w:p>
    <w:bookmarkEnd w:id="39"/>
    <w:bookmarkEnd w:id="40"/>
    <w:sectPr>
      <w:footnotePr>
        <w:numRestart w:val="eachSect"/>
      </w:footnotePr>
      <w:pgSz w:h="16838" w:w="11906"/>
      <w:pgMar w:bottom="1077" w:footer="720" w:gutter="0" w:header="720" w:left="1191" w:right="1191" w:top="1077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•"/>
      <w:lvlJc w:val="left"/>
      <w:pPr>
        <w:ind w:left="720" w:hanging="360"/>
      </w:pPr>
      <w:rPr>
        <w:rFonts w:ascii="Arial" w:hAnsi="Arial" w:cs="Arial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Arial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Arial"/>
      </w:r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Arial" w:hAnsi="Arial" w:cs="Arial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Arial" w:hAnsi="Arial" w:cs="Arial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 w:cs="Arial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 w:cs="Arial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 w:cs="Arial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 w:cs="Arial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 w:cs="Arial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 w:cs="Arial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w="http://schemas.openxmlformats.org/wordprocessingml/2006/main">
  <w:zoom w:percent="100"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sq-AL" w:eastAsia="sq-AL" w:bidi="sq-AL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rial" w:cs="Arial" w:hAnsi="Arial"/>
      <w:sz w:val="22"/>
      <w:szCs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widowControl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widowControl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widowControl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rFonts w:ascii="Arial" w:cs="Arial" w:hAnsi="Arial"/>
      <w:i/>
      <w:color w:val="526A79"/>
      <w:sz w:val="18"/>
      <w:szCs w:val="18"/>
    </w:rPr>
  </w:style>
  <w:style w:customStyle="1" w:styleId="TableCaption" w:type="paragraph">
    <w:name w:val="Table Caption"/>
    <w:basedOn w:val="Caption"/>
    <w:pPr>
      <w:keepNext/>
    </w:pPr>
    <w:rPr>
      <w:rFonts w:ascii="Arial" w:cs="Arial" w:hAnsi="Arial"/>
      <w:color w:val="526A79"/>
      <w:sz w:val="18"/>
      <w:szCs w:val="18"/>
    </w:rPr>
  </w:style>
  <w:style w:customStyle="1" w:styleId="ImageCaption" w:type="paragraph">
    <w:name w:val="Image Caption"/>
    <w:basedOn w:val="Caption"/>
    <w:rPr>
      <w:rFonts w:ascii="Arial" w:cs="Arial" w:hAnsi="Arial"/>
      <w:color w:val="526A79"/>
      <w:sz w:val="18"/>
      <w:szCs w:val="18"/>
    </w:rPr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RatiomeraTable" w:type="table">
    <w:name w:val="Ratiomera data table"/>
    <w:basedOn w:val="Table"/>
    <w:uiPriority w:val="35"/>
    <w:qFormat/>
    <w:pPr>
      <w:widowControl/>
      <w:spacing w:after="40" w:before="0" w:line="240" w:lineRule="auto"/>
    </w:pPr>
    <w:rPr>
      <w:rFonts w:ascii="Arial" w:cs="Arial" w:hAnsi="Arial"/>
      <w:sz w:val="20"/>
      <w:szCs w:val="20"/>
    </w:rPr>
    <w:tblPr>
      <w:tblInd w:type="dxa" w:w="0"/>
    </w:tblPr>
    <w:tblStylePr w:type="firstRow">
      <w:rPr>
        <w:rFonts w:ascii="Arial" w:cs="Arial" w:hAnsi="Arial"/>
        <w:b/>
        <w:color w:val="183B56"/>
        <w:sz w:val="20"/>
        <w:szCs w:val="20"/>
      </w:rPr>
      <w:tcPr>
        <w:shd w:fill="EAF2F6"/>
        <w:vAlign w:val="center"/>
      </w:tcPr>
    </w:tblStylePr>
    <w:tblStylePr w:type="band1Horz">
      <w:tcPr>
        <w:shd w:fill="F3F7F9"/>
      </w:tcPr>
    </w:tblStylePr>
  </w:style>
  <w:style w:type="paragraph" w:customStyle="1" w:styleId="SourceCode">
    <w:name w:val="Source Code"/>
    <w:basedOn w:val="Normal"/>
    <w:link w:val="VerbatimChar"/>
    <w:pPr>
      <w:shd w:val="clear" w:fill="f1f3f5"/>
      <w:wordWrap w:val="off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ns0:Properties xmlns:ns0="http://schemas.openxmlformats.org/officeDocument/2006/extended-properties">
  <ns0:SharedDoc>false</ns0:SharedDoc>
  <ns0:HyperlinksChanged>false</ns0:HyperlinksChanged>
  <ns0:AppVersion>12.0000</ns0:AppVersion>
  <ns0:LinksUpToDate>false</ns0:LinksUpToDate>
  <ns0:Application>Ratiomera document pipeline</ns0:Application>
  <ns0:Template>Normal.dotm</ns0:Template>
  <ns0:DocSecurity>0</ns0:DocSecurity>
  <ns0:ScaleCrop>false</ns0:ScaleCrop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Analiza e variancës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  <dc:subject>Përmbledhje teme nga Ratiomera Statistics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rossref">
    <vt:lpwstr/>
  </property>
  <property fmtid="{D5CDD505-2E9C-101B-9397-08002B2CF9AE}" pid="6" name="execute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mainfont">
    <vt:lpwstr>Arial</vt:lpwstr>
  </property>
  <property fmtid="{D5CDD505-2E9C-101B-9397-08002B2CF9AE}" pid="12" name="subtitle">
    <vt:lpwstr>Krahasimi i mesatareve të grupeve duke ndarë ndryshueshmërinë e rezultatit</vt:lpwstr>
  </property>
  <property fmtid="{D5CDD505-2E9C-101B-9397-08002B2CF9AE}" pid="13" name="toc-title">
    <vt:lpwstr>Përmbajtja</vt:lpwstr>
  </property>
</Properties>
</file>